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608A" w14:textId="691E2100" w:rsidR="00FE4DF1" w:rsidRPr="00F264DA" w:rsidRDefault="00BA246F" w:rsidP="00F264DA">
      <w:pPr>
        <w:pStyle w:val="Default"/>
        <w:tabs>
          <w:tab w:val="left" w:pos="971"/>
          <w:tab w:val="left" w:pos="1122"/>
          <w:tab w:val="center" w:pos="4532"/>
        </w:tabs>
        <w:jc w:val="both"/>
        <w:rPr>
          <w:rFonts w:ascii="Arial" w:eastAsia="Arial" w:hAnsi="Arial" w:cs="Arial"/>
          <w:b/>
          <w:bCs/>
          <w:color w:val="0000FF"/>
          <w:sz w:val="22"/>
          <w:szCs w:val="22"/>
        </w:rPr>
      </w:pPr>
      <w:r w:rsidRPr="00F264DA">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5DB124F3" wp14:editId="111C8114">
                <wp:simplePos x="0" y="0"/>
                <wp:positionH relativeFrom="column">
                  <wp:posOffset>1060508</wp:posOffset>
                </wp:positionH>
                <wp:positionV relativeFrom="paragraph">
                  <wp:posOffset>5287645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AC2D141" w14:textId="4A880679" w:rsidR="00FE4DF1" w:rsidRPr="00BA246F" w:rsidRDefault="00FF4261" w:rsidP="00FE4DF1">
                            <w:pPr>
                              <w:jc w:val="center"/>
                              <w:rPr>
                                <w:rFonts w:ascii="Calibri" w:hAnsi="Calibri" w:cs="Calibri"/>
                                <w:b/>
                                <w:bCs/>
                                <w:sz w:val="32"/>
                                <w:szCs w:val="32"/>
                              </w:rPr>
                            </w:pPr>
                            <w:r w:rsidRPr="00BA246F">
                              <w:rPr>
                                <w:rFonts w:ascii="Calibri" w:hAnsi="Calibri" w:cs="Calibri"/>
                                <w:b/>
                                <w:bCs/>
                                <w:sz w:val="32"/>
                                <w:szCs w:val="32"/>
                              </w:rPr>
                              <w:t>Reserves Policy</w:t>
                            </w:r>
                          </w:p>
                          <w:p w14:paraId="0EE274CC" w14:textId="77777777" w:rsidR="00FE4DF1" w:rsidRPr="00AF515D" w:rsidRDefault="00FE4DF1" w:rsidP="00FE4DF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DB124F3" id="_x0000_t202" coordsize="21600,21600" o:spt="202" path="m,l,21600r21600,l21600,xe">
                <v:stroke joinstyle="miter"/>
                <v:path gradientshapeok="t" o:connecttype="rect"/>
              </v:shapetype>
              <v:shape id="Text Box 2" o:spid="_x0000_s1026" type="#_x0000_t202" style="position:absolute;left:0;text-align:left;margin-left:83.5pt;margin-top:416.3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" filled="f" stroked="f" strokeweight=".5pt">
                <v:textbox style="mso-fit-shape-to-text:t" inset="4pt,4pt,4pt,4pt">
                  <w:txbxContent>
                    <w:p w14:paraId="2AC2D141" w14:textId="4A880679" w:rsidR="00FE4DF1" w:rsidRPr="00BA246F" w:rsidRDefault="00FF4261" w:rsidP="00FE4DF1">
                      <w:pPr>
                        <w:jc w:val="center"/>
                        <w:rPr>
                          <w:rFonts w:ascii="Calibri" w:hAnsi="Calibri" w:cs="Calibri"/>
                          <w:b/>
                          <w:bCs/>
                          <w:sz w:val="32"/>
                          <w:szCs w:val="32"/>
                        </w:rPr>
                      </w:pPr>
                      <w:r w:rsidRPr="00BA246F">
                        <w:rPr>
                          <w:rFonts w:ascii="Calibri" w:hAnsi="Calibri" w:cs="Calibri"/>
                          <w:b/>
                          <w:bCs/>
                          <w:sz w:val="32"/>
                          <w:szCs w:val="32"/>
                        </w:rPr>
                        <w:t>Reserves Policy</w:t>
                      </w:r>
                    </w:p>
                    <w:p w14:paraId="0EE274CC" w14:textId="77777777" w:rsidR="00FE4DF1" w:rsidRPr="00AF515D" w:rsidRDefault="00FE4DF1" w:rsidP="00FE4DF1"/>
                  </w:txbxContent>
                </v:textbox>
                <w10:wrap type="square"/>
              </v:shape>
            </w:pict>
          </mc:Fallback>
        </mc:AlternateContent>
      </w:r>
      <w:r w:rsidRPr="00F264DA">
        <w:rPr>
          <w:rFonts w:ascii="Arial" w:hAnsi="Arial" w:cs="Arial"/>
          <w:noProof/>
          <w:sz w:val="22"/>
          <w:szCs w:val="22"/>
          <w:lang w:val="en-GB" w:eastAsia="en-GB"/>
        </w:rPr>
        <w:drawing>
          <wp:anchor distT="0" distB="0" distL="114300" distR="114300" simplePos="0" relativeHeight="251659264" behindDoc="0" locked="0" layoutInCell="1" allowOverlap="1" wp14:anchorId="0262F77E" wp14:editId="4E2E476B">
            <wp:simplePos x="0" y="0"/>
            <wp:positionH relativeFrom="column">
              <wp:posOffset>-290830</wp:posOffset>
            </wp:positionH>
            <wp:positionV relativeFrom="paragraph">
              <wp:posOffset>306705</wp:posOffset>
            </wp:positionV>
            <wp:extent cx="6184900" cy="6184900"/>
            <wp:effectExtent l="0" t="0" r="0" b="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618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CEE70" w14:textId="177D8FDC" w:rsidR="00FE4DF1" w:rsidRPr="00F264DA" w:rsidRDefault="00FE4DF1" w:rsidP="00F264DA">
      <w:pPr>
        <w:jc w:val="both"/>
        <w:rPr>
          <w:rFonts w:ascii="Arial" w:eastAsia="Arial" w:hAnsi="Arial" w:cs="Arial"/>
          <w:b/>
          <w:bCs/>
          <w:color w:val="0000FF"/>
          <w:sz w:val="22"/>
          <w:szCs w:val="22"/>
          <w:u w:color="000000"/>
        </w:rPr>
      </w:pPr>
      <w:r w:rsidRPr="00F264DA">
        <w:rPr>
          <w:rFonts w:ascii="Arial" w:eastAsia="Arial" w:hAnsi="Arial" w:cs="Arial"/>
          <w:b/>
          <w:bCs/>
          <w:color w:val="0000FF"/>
          <w:sz w:val="22"/>
          <w:szCs w:val="22"/>
        </w:rPr>
        <w:br w:type="page"/>
      </w:r>
      <w:bookmarkStart w:id="0" w:name="_GoBack"/>
      <w:r w:rsidR="00B10141">
        <w:rPr>
          <w:noProof/>
        </w:rPr>
        <w:drawing>
          <wp:anchor distT="0" distB="0" distL="114300" distR="114300" simplePos="0" relativeHeight="251662336" behindDoc="1" locked="0" layoutInCell="1" allowOverlap="1" wp14:anchorId="4704A42B" wp14:editId="181AD6C5">
            <wp:simplePos x="0" y="0"/>
            <wp:positionH relativeFrom="column">
              <wp:posOffset>0</wp:posOffset>
            </wp:positionH>
            <wp:positionV relativeFrom="paragraph">
              <wp:posOffset>6495415</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 Box"/>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2BF2C20" w14:textId="77777777" w:rsidR="000C1ABA" w:rsidRDefault="000C1ABA" w:rsidP="000C1ABA">
      <w:pPr>
        <w:rPr>
          <w:rFonts w:ascii="Arial" w:hAnsi="Arial" w:cs="Arial"/>
          <w:b/>
          <w:color w:val="0000FF"/>
          <w:sz w:val="20"/>
          <w:szCs w:val="20"/>
          <w:lang w:val="en-GB"/>
        </w:rPr>
      </w:pPr>
    </w:p>
    <w:p w14:paraId="0B0C9840" w14:textId="77777777" w:rsidR="000C1ABA" w:rsidRPr="00F077C0" w:rsidRDefault="000C1ABA" w:rsidP="000C1ABA">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7D3993CE" w14:textId="77777777" w:rsidR="000C1ABA" w:rsidRDefault="000C1ABA" w:rsidP="000C1ABA">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0C1ABA" w14:paraId="1DB88A05" w14:textId="77777777" w:rsidTr="00803E4C">
        <w:tc>
          <w:tcPr>
            <w:tcW w:w="562" w:type="dxa"/>
          </w:tcPr>
          <w:p w14:paraId="24E84DC2" w14:textId="77777777" w:rsidR="000C1ABA" w:rsidRPr="009E24C5" w:rsidRDefault="000C1ABA" w:rsidP="00803E4C">
            <w:pPr>
              <w:pStyle w:val="BodyA"/>
              <w:spacing w:line="276"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7EFBD221" w14:textId="77777777" w:rsidR="000C1ABA" w:rsidRPr="009E24C5" w:rsidRDefault="000C1ABA" w:rsidP="00803E4C">
            <w:pPr>
              <w:pStyle w:val="BodyA"/>
              <w:spacing w:line="276" w:lineRule="auto"/>
              <w:rPr>
                <w:rFonts w:ascii="Arial" w:hAnsi="Arial" w:cs="Arial"/>
                <w:lang w:val="en-US"/>
              </w:rPr>
            </w:pPr>
            <w:r>
              <w:rPr>
                <w:rFonts w:ascii="Arial" w:hAnsi="Arial" w:cs="Arial"/>
                <w:lang w:val="en-US"/>
              </w:rPr>
              <w:t xml:space="preserve">Introduction </w:t>
            </w:r>
          </w:p>
          <w:p w14:paraId="1DB94735" w14:textId="77777777" w:rsidR="000C1ABA" w:rsidRPr="009E24C5" w:rsidRDefault="000C1ABA"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67ED829C" w14:textId="77777777" w:rsidR="000C1ABA" w:rsidRDefault="000C1ABA"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3</w:t>
            </w:r>
          </w:p>
        </w:tc>
      </w:tr>
      <w:tr w:rsidR="000C1ABA" w14:paraId="7561E84C" w14:textId="77777777" w:rsidTr="00803E4C">
        <w:tc>
          <w:tcPr>
            <w:tcW w:w="562" w:type="dxa"/>
          </w:tcPr>
          <w:p w14:paraId="4B939225" w14:textId="77777777" w:rsidR="000C1ABA" w:rsidRPr="009E24C5" w:rsidRDefault="000C1ABA" w:rsidP="00803E4C">
            <w:pPr>
              <w:pStyle w:val="BodyA"/>
              <w:spacing w:line="276" w:lineRule="auto"/>
              <w:rPr>
                <w:rFonts w:ascii="Arial" w:hAnsi="Arial" w:cs="Arial"/>
                <w:lang w:val="en-US"/>
              </w:rPr>
            </w:pPr>
            <w:r w:rsidRPr="009E24C5">
              <w:rPr>
                <w:rFonts w:ascii="Arial" w:eastAsia="Arial" w:hAnsi="Arial" w:cs="Arial"/>
                <w:lang w:val="en-GB"/>
              </w:rPr>
              <w:t>2.</w:t>
            </w:r>
          </w:p>
        </w:tc>
        <w:tc>
          <w:tcPr>
            <w:tcW w:w="8222" w:type="dxa"/>
          </w:tcPr>
          <w:p w14:paraId="775A7559" w14:textId="77777777" w:rsidR="000C1ABA" w:rsidRPr="009E24C5" w:rsidRDefault="000C1ABA" w:rsidP="00803E4C">
            <w:pPr>
              <w:pStyle w:val="BodyA"/>
              <w:spacing w:line="276" w:lineRule="auto"/>
              <w:rPr>
                <w:rFonts w:ascii="Arial" w:hAnsi="Arial" w:cs="Arial"/>
                <w:lang w:val="en-US"/>
              </w:rPr>
            </w:pPr>
            <w:r>
              <w:rPr>
                <w:rFonts w:ascii="Arial" w:hAnsi="Arial" w:cs="Arial"/>
                <w:lang w:val="en-US"/>
              </w:rPr>
              <w:t xml:space="preserve">Monitoring and evaluation of the policy </w:t>
            </w:r>
          </w:p>
          <w:p w14:paraId="6454C45A" w14:textId="77777777" w:rsidR="000C1ABA" w:rsidRPr="009E24C5" w:rsidRDefault="000C1ABA"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22FD95A0" w14:textId="1ED6F57D" w:rsidR="000C1ABA" w:rsidRDefault="00F9620F"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4</w:t>
            </w:r>
          </w:p>
        </w:tc>
      </w:tr>
      <w:tr w:rsidR="000C1ABA" w14:paraId="679D46C2" w14:textId="77777777" w:rsidTr="00803E4C">
        <w:tc>
          <w:tcPr>
            <w:tcW w:w="562" w:type="dxa"/>
          </w:tcPr>
          <w:p w14:paraId="4819AF42" w14:textId="77777777" w:rsidR="000C1ABA" w:rsidRPr="009E24C5" w:rsidRDefault="000C1ABA"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sidRPr="009E24C5">
              <w:rPr>
                <w:rFonts w:ascii="Arial" w:eastAsia="Arial" w:hAnsi="Arial" w:cs="Arial"/>
                <w:sz w:val="22"/>
                <w:szCs w:val="22"/>
              </w:rPr>
              <w:t>3</w:t>
            </w:r>
          </w:p>
        </w:tc>
        <w:tc>
          <w:tcPr>
            <w:tcW w:w="8222" w:type="dxa"/>
          </w:tcPr>
          <w:p w14:paraId="1C65565D" w14:textId="77777777" w:rsidR="000C1ABA" w:rsidRPr="009E24C5" w:rsidRDefault="000C1ABA" w:rsidP="00803E4C">
            <w:pPr>
              <w:pStyle w:val="BodyA"/>
              <w:spacing w:line="276" w:lineRule="auto"/>
              <w:rPr>
                <w:rFonts w:ascii="Arial" w:hAnsi="Arial" w:cs="Arial"/>
                <w:lang w:val="en-US"/>
              </w:rPr>
            </w:pPr>
            <w:r>
              <w:rPr>
                <w:rFonts w:ascii="Arial" w:hAnsi="Arial" w:cs="Arial"/>
                <w:lang w:val="en-US"/>
              </w:rPr>
              <w:t xml:space="preserve">Reviewing </w:t>
            </w:r>
          </w:p>
          <w:p w14:paraId="76AEEA06" w14:textId="77777777" w:rsidR="000C1ABA" w:rsidRPr="009E24C5" w:rsidRDefault="000C1ABA"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2F54E9E2" w14:textId="542ACDEC" w:rsidR="000C1ABA" w:rsidRDefault="00F9620F" w:rsidP="00803E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4</w:t>
            </w:r>
          </w:p>
        </w:tc>
      </w:tr>
    </w:tbl>
    <w:p w14:paraId="75CE330B"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62AC19E1"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308C5DE"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38C6670"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22DE2BD"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57050A9F"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6E0DAF7D"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E61BA2A"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2D6544B7"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539DFF5"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8E46235"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4C098B4C"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013F6C22"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75DD06BB"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ED856DD"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0575AC3E"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3773FAA"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98E53E3"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7FE00C9A"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65F9E47"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7865017F"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0E849187"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503D1014"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50990DA9"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AA311C7"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45186AF0"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1782021D"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68EFD79A"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2DE93C3E"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9355C23"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F93AF69"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34DBE459" w14:textId="77777777" w:rsidR="00F9620F" w:rsidRPr="008514B9" w:rsidRDefault="00F9620F" w:rsidP="00F9620F">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72D3EFDD" w14:textId="77777777" w:rsidR="00F9620F" w:rsidRPr="00C22B06" w:rsidRDefault="00F9620F" w:rsidP="00F9620F">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F9620F" w:rsidRPr="00C22B06" w14:paraId="3FA79E4C" w14:textId="77777777" w:rsidTr="00803E4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47A5E0B4"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41AA3720"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3A11A962"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529BD783"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Comment </w:t>
            </w:r>
          </w:p>
        </w:tc>
      </w:tr>
      <w:tr w:rsidR="00F9620F" w:rsidRPr="00C22B06" w14:paraId="3CB07205" w14:textId="77777777" w:rsidTr="00803E4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C709E0E"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276C4DC3"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0F0010B"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264B640"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r>
      <w:tr w:rsidR="00F9620F" w:rsidRPr="00C22B06" w14:paraId="4B54E4A3" w14:textId="77777777" w:rsidTr="00803E4C">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5812F4B5"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6A429F77"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18EC7EA9"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43C3D87C"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r>
      <w:tr w:rsidR="00F9620F" w:rsidRPr="00C22B06" w14:paraId="09D851B5" w14:textId="77777777" w:rsidTr="00803E4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12D42805"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0100362"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315EAFF4"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890E61B"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r>
      <w:tr w:rsidR="00F9620F" w:rsidRPr="00C22B06" w14:paraId="138C8912" w14:textId="77777777" w:rsidTr="00803E4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4AC35390"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26987BD"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658941FD"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5DB56911" w14:textId="77777777" w:rsidR="00F9620F" w:rsidRPr="00C22B06" w:rsidRDefault="00F9620F" w:rsidP="00803E4C">
            <w:pPr>
              <w:textAlignment w:val="baseline"/>
              <w:rPr>
                <w:rFonts w:eastAsia="Times New Roman"/>
              </w:rPr>
            </w:pPr>
            <w:r w:rsidRPr="00C22B06">
              <w:rPr>
                <w:rFonts w:ascii="Arial" w:eastAsia="Times New Roman" w:hAnsi="Arial" w:cs="Arial"/>
                <w:sz w:val="22"/>
                <w:szCs w:val="22"/>
              </w:rPr>
              <w:t> </w:t>
            </w:r>
          </w:p>
        </w:tc>
      </w:tr>
    </w:tbl>
    <w:p w14:paraId="378C5534"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21135519" w14:textId="77777777" w:rsidR="000C1ABA" w:rsidRDefault="000C1ABA" w:rsidP="00CC1623">
      <w:pPr>
        <w:pStyle w:val="Default"/>
        <w:tabs>
          <w:tab w:val="left" w:pos="971"/>
          <w:tab w:val="left" w:pos="1122"/>
          <w:tab w:val="center" w:pos="4532"/>
        </w:tabs>
        <w:jc w:val="both"/>
        <w:rPr>
          <w:rFonts w:ascii="Arial" w:eastAsia="Arial" w:hAnsi="Arial" w:cs="Arial"/>
          <w:b/>
          <w:color w:val="EA8300" w:themeColor="accent4" w:themeShade="BF"/>
        </w:rPr>
      </w:pPr>
    </w:p>
    <w:p w14:paraId="4B56DBD3" w14:textId="7B747129" w:rsidR="00707E59" w:rsidRPr="00CC1623" w:rsidRDefault="00CC1623" w:rsidP="00CC1623">
      <w:pPr>
        <w:pStyle w:val="Default"/>
        <w:tabs>
          <w:tab w:val="left" w:pos="971"/>
          <w:tab w:val="left" w:pos="1122"/>
          <w:tab w:val="center" w:pos="4532"/>
        </w:tabs>
        <w:jc w:val="both"/>
        <w:rPr>
          <w:rFonts w:ascii="Arial" w:eastAsia="Arial" w:hAnsi="Arial" w:cs="Arial"/>
          <w:b/>
          <w:color w:val="EA8300" w:themeColor="accent4" w:themeShade="BF"/>
        </w:rPr>
      </w:pPr>
      <w:r w:rsidRPr="00CC1623">
        <w:rPr>
          <w:rFonts w:ascii="Arial" w:eastAsia="Arial" w:hAnsi="Arial" w:cs="Arial"/>
          <w:b/>
          <w:color w:val="EA8300" w:themeColor="accent4" w:themeShade="BF"/>
        </w:rPr>
        <w:lastRenderedPageBreak/>
        <w:t>1.</w:t>
      </w:r>
      <w:r>
        <w:rPr>
          <w:rFonts w:ascii="Arial" w:eastAsia="Arial" w:hAnsi="Arial" w:cs="Arial"/>
          <w:b/>
          <w:color w:val="EA8300" w:themeColor="accent4" w:themeShade="BF"/>
        </w:rPr>
        <w:t xml:space="preserve"> </w:t>
      </w:r>
      <w:r w:rsidR="00797F6C" w:rsidRPr="00CC1623">
        <w:rPr>
          <w:rFonts w:ascii="Arial" w:eastAsia="Arial" w:hAnsi="Arial" w:cs="Arial"/>
          <w:b/>
          <w:color w:val="EA8300" w:themeColor="accent4" w:themeShade="BF"/>
        </w:rPr>
        <w:t xml:space="preserve">Introduction: </w:t>
      </w:r>
    </w:p>
    <w:p w14:paraId="5E3C0518" w14:textId="77777777" w:rsidR="00797F6C" w:rsidRPr="00F264DA" w:rsidRDefault="00797F6C" w:rsidP="00F264DA">
      <w:pPr>
        <w:pStyle w:val="Default"/>
        <w:jc w:val="both"/>
        <w:rPr>
          <w:rFonts w:ascii="Arial" w:eastAsia="Arial" w:hAnsi="Arial" w:cs="Arial"/>
          <w:sz w:val="22"/>
          <w:szCs w:val="22"/>
        </w:rPr>
      </w:pPr>
    </w:p>
    <w:p w14:paraId="3F9C4296"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 xml:space="preserve">The Trustees/Directors need to consider the level of reserves that the Trust should hold. Levels of reserves, which are too high tie up money, which should be spent on current activities, levels of reserves which are too low may put the future activities of the Trust at risk. </w:t>
      </w:r>
    </w:p>
    <w:p w14:paraId="68B3384D" w14:textId="77777777" w:rsidR="00707E59" w:rsidRPr="00F264DA" w:rsidRDefault="00707E59" w:rsidP="00F264DA">
      <w:pPr>
        <w:pStyle w:val="Default"/>
        <w:jc w:val="both"/>
        <w:rPr>
          <w:rFonts w:ascii="Arial" w:eastAsia="Arial" w:hAnsi="Arial" w:cs="Arial"/>
          <w:b/>
          <w:bCs/>
          <w:color w:val="FFA93A" w:themeColor="accent4"/>
          <w:sz w:val="22"/>
          <w:szCs w:val="22"/>
        </w:rPr>
      </w:pPr>
    </w:p>
    <w:p w14:paraId="3E83CA93" w14:textId="77777777" w:rsidR="00707E59" w:rsidRPr="00F264DA" w:rsidRDefault="00797F6C" w:rsidP="00F264DA">
      <w:pPr>
        <w:pStyle w:val="Default"/>
        <w:jc w:val="both"/>
        <w:rPr>
          <w:rFonts w:ascii="Arial" w:eastAsia="Arial" w:hAnsi="Arial" w:cs="Arial"/>
          <w:bCs/>
          <w:color w:val="auto"/>
          <w:sz w:val="22"/>
          <w:szCs w:val="22"/>
        </w:rPr>
      </w:pPr>
      <w:r w:rsidRPr="00F264DA">
        <w:rPr>
          <w:rFonts w:ascii="Arial" w:eastAsia="Arial" w:hAnsi="Arial" w:cs="Arial"/>
          <w:bCs/>
          <w:color w:val="auto"/>
          <w:sz w:val="22"/>
          <w:szCs w:val="22"/>
        </w:rPr>
        <w:t>The Trust’s reserves policy:</w:t>
      </w:r>
    </w:p>
    <w:p w14:paraId="60FF32C1" w14:textId="77777777" w:rsidR="00797F6C" w:rsidRPr="00F264DA" w:rsidRDefault="00797F6C" w:rsidP="00F264DA">
      <w:pPr>
        <w:pStyle w:val="Default"/>
        <w:ind w:left="180" w:hanging="180"/>
        <w:jc w:val="both"/>
        <w:rPr>
          <w:rFonts w:ascii="Arial" w:eastAsia="Arial" w:hAnsi="Arial" w:cs="Arial"/>
          <w:b/>
          <w:bCs/>
          <w:color w:val="0000FF"/>
          <w:sz w:val="22"/>
          <w:szCs w:val="22"/>
        </w:rPr>
      </w:pPr>
    </w:p>
    <w:p w14:paraId="394B0FA6" w14:textId="77777777" w:rsidR="00707E59" w:rsidRPr="00F264DA" w:rsidRDefault="00797F6C" w:rsidP="00F264DA">
      <w:pPr>
        <w:pStyle w:val="Default"/>
        <w:numPr>
          <w:ilvl w:val="0"/>
          <w:numId w:val="3"/>
        </w:numPr>
        <w:tabs>
          <w:tab w:val="num" w:pos="1080"/>
        </w:tabs>
        <w:ind w:left="360" w:hanging="360"/>
        <w:jc w:val="both"/>
        <w:rPr>
          <w:rFonts w:ascii="Arial" w:eastAsia="Arial" w:hAnsi="Arial" w:cs="Arial"/>
          <w:sz w:val="22"/>
          <w:szCs w:val="22"/>
        </w:rPr>
      </w:pPr>
      <w:r w:rsidRPr="00F264DA">
        <w:rPr>
          <w:rFonts w:ascii="Arial" w:hAnsi="Arial" w:cs="Arial"/>
          <w:sz w:val="22"/>
          <w:szCs w:val="22"/>
        </w:rPr>
        <w:t>Assists in strategic planning.</w:t>
      </w:r>
    </w:p>
    <w:p w14:paraId="0FA41E9C" w14:textId="77777777" w:rsidR="00707E59" w:rsidRPr="00F264DA" w:rsidRDefault="00797F6C" w:rsidP="00F264DA">
      <w:pPr>
        <w:pStyle w:val="NoSpacing"/>
        <w:numPr>
          <w:ilvl w:val="0"/>
          <w:numId w:val="4"/>
        </w:numPr>
        <w:tabs>
          <w:tab w:val="clear" w:pos="720"/>
          <w:tab w:val="num" w:pos="1020"/>
        </w:tabs>
        <w:ind w:left="360"/>
        <w:jc w:val="both"/>
        <w:rPr>
          <w:rFonts w:ascii="Arial" w:eastAsia="Arial" w:hAnsi="Arial" w:cs="Arial"/>
          <w:sz w:val="22"/>
          <w:szCs w:val="22"/>
        </w:rPr>
      </w:pPr>
      <w:r w:rsidRPr="00F264DA">
        <w:rPr>
          <w:rFonts w:ascii="Arial" w:hAnsi="Arial" w:cs="Arial"/>
          <w:sz w:val="22"/>
          <w:szCs w:val="22"/>
        </w:rPr>
        <w:t>Informs the budget process by considering whether reserves need to be used during the financial year or built up for the future.</w:t>
      </w:r>
    </w:p>
    <w:p w14:paraId="26370F34" w14:textId="77777777" w:rsidR="00707E59" w:rsidRPr="00F264DA" w:rsidRDefault="00797F6C" w:rsidP="00F264DA">
      <w:pPr>
        <w:pStyle w:val="Default"/>
        <w:numPr>
          <w:ilvl w:val="0"/>
          <w:numId w:val="5"/>
        </w:numPr>
        <w:tabs>
          <w:tab w:val="num" w:pos="1080"/>
        </w:tabs>
        <w:spacing w:after="257"/>
        <w:ind w:left="360" w:hanging="360"/>
        <w:jc w:val="both"/>
        <w:rPr>
          <w:rFonts w:ascii="Arial" w:eastAsia="Arial" w:hAnsi="Arial" w:cs="Arial"/>
          <w:sz w:val="22"/>
          <w:szCs w:val="22"/>
        </w:rPr>
      </w:pPr>
      <w:r w:rsidRPr="00F264DA">
        <w:rPr>
          <w:rFonts w:ascii="Arial" w:hAnsi="Arial" w:cs="Arial"/>
          <w:sz w:val="22"/>
          <w:szCs w:val="22"/>
        </w:rPr>
        <w:t xml:space="preserve">Informs the budget and risk management process by identifying any uncertainty in future income streams. </w:t>
      </w:r>
    </w:p>
    <w:p w14:paraId="294F1123" w14:textId="77777777" w:rsidR="00707E59" w:rsidRPr="00CC1623" w:rsidRDefault="00797F6C" w:rsidP="00F264DA">
      <w:pPr>
        <w:pStyle w:val="Default"/>
        <w:jc w:val="both"/>
        <w:rPr>
          <w:rFonts w:ascii="Arial" w:eastAsia="Arial" w:hAnsi="Arial" w:cs="Arial"/>
          <w:b/>
          <w:color w:val="EA8300" w:themeColor="accent4" w:themeShade="BF"/>
          <w:sz w:val="21"/>
          <w:szCs w:val="21"/>
        </w:rPr>
      </w:pPr>
      <w:r w:rsidRPr="00CC1623">
        <w:rPr>
          <w:rFonts w:ascii="Arial" w:eastAsia="Arial" w:hAnsi="Arial" w:cs="Arial"/>
          <w:b/>
          <w:color w:val="EA8300" w:themeColor="accent4" w:themeShade="BF"/>
          <w:sz w:val="21"/>
          <w:szCs w:val="21"/>
        </w:rPr>
        <w:t xml:space="preserve">During the financial year the Trustees/Directors will identify: </w:t>
      </w:r>
    </w:p>
    <w:p w14:paraId="59513DFC" w14:textId="77777777" w:rsidR="00797F6C" w:rsidRPr="00F264DA" w:rsidRDefault="00797F6C" w:rsidP="00F264DA">
      <w:pPr>
        <w:pStyle w:val="Default"/>
        <w:jc w:val="both"/>
        <w:rPr>
          <w:rFonts w:ascii="Arial" w:eastAsia="Arial" w:hAnsi="Arial" w:cs="Arial"/>
          <w:b/>
          <w:bCs/>
          <w:color w:val="0000FF"/>
          <w:sz w:val="22"/>
          <w:szCs w:val="22"/>
        </w:rPr>
      </w:pPr>
    </w:p>
    <w:p w14:paraId="1CC3D752" w14:textId="77777777" w:rsidR="00707E59" w:rsidRPr="00F264DA" w:rsidRDefault="00797F6C" w:rsidP="00F264DA">
      <w:pPr>
        <w:pStyle w:val="NoSpacing"/>
        <w:numPr>
          <w:ilvl w:val="0"/>
          <w:numId w:val="8"/>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When reserves are drawn on, so that they understand the reasons for this and can consider what corrective action, if any, needs to be taken.</w:t>
      </w:r>
    </w:p>
    <w:p w14:paraId="20283869" w14:textId="77777777" w:rsidR="00707E59" w:rsidRPr="00F264DA" w:rsidRDefault="00797F6C" w:rsidP="00F264DA">
      <w:pPr>
        <w:pStyle w:val="NoSpacing"/>
        <w:numPr>
          <w:ilvl w:val="0"/>
          <w:numId w:val="9"/>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When reserve levels rise significantly above target so that they understand the reasons and can consider the corrective action, if any that needs to be taken. </w:t>
      </w:r>
    </w:p>
    <w:p w14:paraId="4208E2E5" w14:textId="77777777" w:rsidR="00707E59" w:rsidRPr="00F264DA" w:rsidRDefault="00797F6C" w:rsidP="00F264DA">
      <w:pPr>
        <w:pStyle w:val="NoSpacing"/>
        <w:numPr>
          <w:ilvl w:val="0"/>
          <w:numId w:val="10"/>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Where the reserves level is too low and consider whether this is due to short-term circumstance or </w:t>
      </w:r>
      <w:proofErr w:type="gramStart"/>
      <w:r w:rsidRPr="00F264DA">
        <w:rPr>
          <w:rFonts w:ascii="Arial" w:hAnsi="Arial" w:cs="Arial"/>
          <w:sz w:val="22"/>
          <w:szCs w:val="22"/>
        </w:rPr>
        <w:t>longer term</w:t>
      </w:r>
      <w:proofErr w:type="gramEnd"/>
      <w:r w:rsidRPr="00F264DA">
        <w:rPr>
          <w:rFonts w:ascii="Arial" w:hAnsi="Arial" w:cs="Arial"/>
          <w:sz w:val="22"/>
          <w:szCs w:val="22"/>
        </w:rPr>
        <w:t xml:space="preserve"> reasons which might trigger a broader review of finances and reserves. </w:t>
      </w:r>
    </w:p>
    <w:p w14:paraId="69F5415B" w14:textId="77777777" w:rsidR="00707E59" w:rsidRPr="00F264DA" w:rsidRDefault="00707E59" w:rsidP="00F264DA">
      <w:pPr>
        <w:pStyle w:val="Default"/>
        <w:jc w:val="both"/>
        <w:rPr>
          <w:rFonts w:ascii="Arial" w:eastAsia="Arial" w:hAnsi="Arial" w:cs="Arial"/>
          <w:color w:val="0000FF"/>
          <w:sz w:val="22"/>
          <w:szCs w:val="22"/>
        </w:rPr>
      </w:pPr>
    </w:p>
    <w:p w14:paraId="00D93BEB" w14:textId="77777777" w:rsidR="00707E59" w:rsidRPr="00CC1623" w:rsidRDefault="00797F6C" w:rsidP="00F264DA">
      <w:pPr>
        <w:pStyle w:val="Default"/>
        <w:jc w:val="both"/>
        <w:rPr>
          <w:rFonts w:ascii="Arial" w:eastAsia="Arial" w:hAnsi="Arial" w:cs="Arial"/>
          <w:b/>
          <w:color w:val="EA8300" w:themeColor="accent4" w:themeShade="BF"/>
          <w:sz w:val="21"/>
          <w:szCs w:val="21"/>
        </w:rPr>
      </w:pPr>
      <w:r w:rsidRPr="00CC1623">
        <w:rPr>
          <w:rFonts w:ascii="Arial" w:eastAsia="Arial" w:hAnsi="Arial" w:cs="Arial"/>
          <w:b/>
          <w:color w:val="EA8300" w:themeColor="accent4" w:themeShade="BF"/>
          <w:sz w:val="21"/>
          <w:szCs w:val="21"/>
        </w:rPr>
        <w:t>Development of the Reserves:</w:t>
      </w:r>
    </w:p>
    <w:p w14:paraId="28DC6384" w14:textId="77777777" w:rsidR="00797F6C" w:rsidRPr="00F264DA" w:rsidRDefault="00797F6C" w:rsidP="00F264DA">
      <w:pPr>
        <w:pStyle w:val="Default"/>
        <w:jc w:val="both"/>
        <w:rPr>
          <w:rFonts w:ascii="Arial" w:eastAsia="Arial" w:hAnsi="Arial" w:cs="Arial"/>
          <w:color w:val="0000FF"/>
          <w:sz w:val="22"/>
          <w:szCs w:val="22"/>
        </w:rPr>
      </w:pPr>
    </w:p>
    <w:p w14:paraId="29E27AD3"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 xml:space="preserve">When setting an appropriate level of reserves, the Trustees/Directors will consider: </w:t>
      </w:r>
    </w:p>
    <w:p w14:paraId="708EB4A6" w14:textId="77777777" w:rsidR="00707E59" w:rsidRPr="00F264DA" w:rsidRDefault="00797F6C" w:rsidP="00F264DA">
      <w:pPr>
        <w:pStyle w:val="NoSpacing"/>
        <w:numPr>
          <w:ilvl w:val="0"/>
          <w:numId w:val="13"/>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The risk of unforeseen emergency or other unexpected need for funds across the Trust. </w:t>
      </w:r>
    </w:p>
    <w:p w14:paraId="2DB52B25" w14:textId="77777777" w:rsidR="00707E59" w:rsidRPr="00F264DA" w:rsidRDefault="00797F6C" w:rsidP="00F264DA">
      <w:pPr>
        <w:pStyle w:val="NoSpacing"/>
        <w:numPr>
          <w:ilvl w:val="0"/>
          <w:numId w:val="14"/>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Covering unforeseen day-to-day operational costs. </w:t>
      </w:r>
    </w:p>
    <w:p w14:paraId="1A44FCCA" w14:textId="77777777" w:rsidR="00707E59" w:rsidRPr="00F264DA" w:rsidRDefault="00797F6C" w:rsidP="00F264DA">
      <w:pPr>
        <w:pStyle w:val="NoSpacing"/>
        <w:numPr>
          <w:ilvl w:val="0"/>
          <w:numId w:val="15"/>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A fall in any source of income </w:t>
      </w:r>
      <w:proofErr w:type="spellStart"/>
      <w:r w:rsidRPr="00F264DA">
        <w:rPr>
          <w:rFonts w:ascii="Arial" w:hAnsi="Arial" w:cs="Arial"/>
          <w:sz w:val="22"/>
          <w:szCs w:val="22"/>
        </w:rPr>
        <w:t>ie</w:t>
      </w:r>
      <w:proofErr w:type="spellEnd"/>
      <w:r w:rsidRPr="00F264DA">
        <w:rPr>
          <w:rFonts w:ascii="Arial" w:hAnsi="Arial" w:cs="Arial"/>
          <w:sz w:val="22"/>
          <w:szCs w:val="22"/>
        </w:rPr>
        <w:t xml:space="preserve"> reduction in pupil numbers. </w:t>
      </w:r>
    </w:p>
    <w:p w14:paraId="63A29CC2" w14:textId="77777777" w:rsidR="00707E59" w:rsidRPr="00F264DA" w:rsidRDefault="00797F6C" w:rsidP="00F264DA">
      <w:pPr>
        <w:pStyle w:val="NoSpacing"/>
        <w:numPr>
          <w:ilvl w:val="0"/>
          <w:numId w:val="16"/>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Planned commitments, or designations, that cannot be met by future income alone, for example plans for a major capital project. </w:t>
      </w:r>
    </w:p>
    <w:p w14:paraId="7064B456" w14:textId="77777777" w:rsidR="00707E59" w:rsidRPr="00F264DA" w:rsidRDefault="00797F6C" w:rsidP="00F264DA">
      <w:pPr>
        <w:pStyle w:val="NoSpacing"/>
        <w:numPr>
          <w:ilvl w:val="0"/>
          <w:numId w:val="17"/>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The need to support potential deficits. </w:t>
      </w:r>
    </w:p>
    <w:p w14:paraId="30E207DF" w14:textId="77777777" w:rsidR="00AF515D" w:rsidRPr="00F264DA" w:rsidRDefault="00AF515D" w:rsidP="00F264DA">
      <w:pPr>
        <w:pStyle w:val="NoSpacing"/>
        <w:ind w:left="300"/>
        <w:jc w:val="both"/>
        <w:rPr>
          <w:rFonts w:ascii="Arial" w:eastAsia="Arial" w:hAnsi="Arial" w:cs="Arial"/>
          <w:sz w:val="22"/>
          <w:szCs w:val="22"/>
        </w:rPr>
      </w:pPr>
    </w:p>
    <w:p w14:paraId="62673CBA" w14:textId="77777777" w:rsidR="00707E59" w:rsidRPr="00F264DA" w:rsidRDefault="00797F6C" w:rsidP="00F264DA">
      <w:pPr>
        <w:pStyle w:val="NoSpacing"/>
        <w:spacing w:line="360" w:lineRule="auto"/>
        <w:jc w:val="both"/>
        <w:rPr>
          <w:rFonts w:ascii="Arial" w:eastAsia="Arial" w:hAnsi="Arial" w:cs="Arial"/>
          <w:sz w:val="22"/>
          <w:szCs w:val="22"/>
        </w:rPr>
      </w:pPr>
      <w:r w:rsidRPr="00F264DA">
        <w:rPr>
          <w:rFonts w:ascii="Arial" w:eastAsia="Arial" w:hAnsi="Arial" w:cs="Arial"/>
          <w:sz w:val="22"/>
          <w:szCs w:val="22"/>
        </w:rPr>
        <w:t>NB/ The financial risks identified determine the amount of reserves the Trust will need to hold.</w:t>
      </w:r>
    </w:p>
    <w:p w14:paraId="2D91A495" w14:textId="77777777" w:rsidR="00707E59" w:rsidRPr="00F264DA" w:rsidRDefault="00707E59" w:rsidP="00F264DA">
      <w:pPr>
        <w:pStyle w:val="NoSpacing"/>
        <w:jc w:val="both"/>
        <w:rPr>
          <w:rFonts w:ascii="Arial" w:eastAsia="Arial" w:hAnsi="Arial" w:cs="Arial"/>
          <w:sz w:val="22"/>
          <w:szCs w:val="22"/>
        </w:rPr>
      </w:pPr>
    </w:p>
    <w:p w14:paraId="4763A904" w14:textId="24EA37CB" w:rsidR="00707E59" w:rsidRDefault="00797F6C" w:rsidP="00F264DA">
      <w:pPr>
        <w:pStyle w:val="Default"/>
        <w:jc w:val="both"/>
        <w:rPr>
          <w:rFonts w:ascii="Arial" w:eastAsia="Arial" w:hAnsi="Arial" w:cs="Arial"/>
          <w:b/>
          <w:color w:val="EA8300" w:themeColor="accent4" w:themeShade="BF"/>
          <w:sz w:val="21"/>
          <w:szCs w:val="21"/>
        </w:rPr>
      </w:pPr>
      <w:r w:rsidRPr="00CC1623">
        <w:rPr>
          <w:rFonts w:ascii="Arial" w:eastAsia="Arial" w:hAnsi="Arial" w:cs="Arial"/>
          <w:b/>
          <w:color w:val="EA8300" w:themeColor="accent4" w:themeShade="BF"/>
          <w:sz w:val="21"/>
          <w:szCs w:val="21"/>
        </w:rPr>
        <w:t>Target range of reserves for the financial year:</w:t>
      </w:r>
    </w:p>
    <w:p w14:paraId="2C726CEF" w14:textId="77777777" w:rsidR="00CC1623" w:rsidRPr="00CC1623" w:rsidRDefault="00CC1623" w:rsidP="00F264DA">
      <w:pPr>
        <w:pStyle w:val="Default"/>
        <w:jc w:val="both"/>
        <w:rPr>
          <w:rFonts w:ascii="Arial" w:eastAsia="Arial" w:hAnsi="Arial" w:cs="Arial"/>
          <w:b/>
          <w:color w:val="EA8300" w:themeColor="accent4" w:themeShade="BF"/>
          <w:sz w:val="21"/>
          <w:szCs w:val="21"/>
        </w:rPr>
      </w:pPr>
    </w:p>
    <w:p w14:paraId="5557E3D5" w14:textId="77777777" w:rsidR="00797F6C" w:rsidRPr="00F264DA" w:rsidRDefault="00797F6C" w:rsidP="00F264DA">
      <w:pPr>
        <w:pStyle w:val="Default"/>
        <w:jc w:val="both"/>
        <w:rPr>
          <w:rFonts w:ascii="Arial" w:eastAsia="Arial" w:hAnsi="Arial" w:cs="Arial"/>
          <w:color w:val="0000FF"/>
          <w:sz w:val="22"/>
          <w:szCs w:val="22"/>
        </w:rPr>
      </w:pPr>
    </w:p>
    <w:p w14:paraId="27CC3301" w14:textId="2F6639A0"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As the number of academies within the Trust increases so will the level of reserves, although not proportionately to the level of funding.  As the Trust has a responsibility to ensure viability within each academy it is felt that the appropriate level of reserves currently should be equivalent to circa 3 months operating co</w:t>
      </w:r>
      <w:r w:rsidR="003E696B" w:rsidRPr="00F264DA">
        <w:rPr>
          <w:rFonts w:ascii="Arial" w:eastAsia="Arial" w:hAnsi="Arial" w:cs="Arial"/>
          <w:sz w:val="22"/>
          <w:szCs w:val="22"/>
        </w:rPr>
        <w:t xml:space="preserve">sts of the largest academy </w:t>
      </w:r>
      <w:proofErr w:type="spellStart"/>
      <w:r w:rsidR="003E696B" w:rsidRPr="00F264DA">
        <w:rPr>
          <w:rFonts w:ascii="Arial" w:eastAsia="Arial" w:hAnsi="Arial" w:cs="Arial"/>
          <w:sz w:val="22"/>
          <w:szCs w:val="22"/>
        </w:rPr>
        <w:t>ie</w:t>
      </w:r>
      <w:proofErr w:type="spellEnd"/>
      <w:r w:rsidR="003E696B" w:rsidRPr="00F264DA">
        <w:rPr>
          <w:rFonts w:ascii="Arial" w:eastAsia="Arial" w:hAnsi="Arial" w:cs="Arial"/>
          <w:sz w:val="22"/>
          <w:szCs w:val="22"/>
        </w:rPr>
        <w:t xml:space="preserve"> £6</w:t>
      </w:r>
      <w:r w:rsidRPr="00F264DA">
        <w:rPr>
          <w:rFonts w:ascii="Arial" w:eastAsia="Arial" w:hAnsi="Arial" w:cs="Arial"/>
          <w:sz w:val="22"/>
          <w:szCs w:val="22"/>
        </w:rPr>
        <w:t xml:space="preserve">00,000.  The level of reserve will be reviewed and set on an annual basis as part of the budget setting plan taking into consideration the size of the Trust and the number of member academies. </w:t>
      </w:r>
    </w:p>
    <w:p w14:paraId="67984C4A" w14:textId="77777777" w:rsidR="00707E59" w:rsidRPr="00F264DA" w:rsidRDefault="00707E59" w:rsidP="00F264DA">
      <w:pPr>
        <w:pStyle w:val="Default"/>
        <w:jc w:val="both"/>
        <w:rPr>
          <w:rFonts w:ascii="Arial" w:eastAsia="Arial" w:hAnsi="Arial" w:cs="Arial"/>
          <w:b/>
          <w:bCs/>
          <w:color w:val="FFA93A" w:themeColor="accent4"/>
          <w:sz w:val="22"/>
          <w:szCs w:val="22"/>
        </w:rPr>
      </w:pPr>
    </w:p>
    <w:p w14:paraId="6A54BBB2" w14:textId="77777777" w:rsidR="00AF515D" w:rsidRPr="00F264DA" w:rsidRDefault="00AF515D" w:rsidP="00F264DA">
      <w:pPr>
        <w:pStyle w:val="Default"/>
        <w:jc w:val="both"/>
        <w:rPr>
          <w:rFonts w:ascii="Arial" w:eastAsia="Arial" w:hAnsi="Arial" w:cs="Arial"/>
          <w:b/>
          <w:bCs/>
          <w:color w:val="FFA93A" w:themeColor="accent4"/>
          <w:sz w:val="22"/>
          <w:szCs w:val="22"/>
        </w:rPr>
      </w:pPr>
    </w:p>
    <w:p w14:paraId="4FB17E28" w14:textId="77777777" w:rsidR="00AF515D" w:rsidRPr="00F264DA" w:rsidRDefault="00AF515D" w:rsidP="00F264DA">
      <w:pPr>
        <w:pStyle w:val="Default"/>
        <w:jc w:val="both"/>
        <w:rPr>
          <w:rFonts w:ascii="Arial" w:eastAsia="Arial" w:hAnsi="Arial" w:cs="Arial"/>
          <w:b/>
          <w:bCs/>
          <w:color w:val="FFA93A" w:themeColor="accent4"/>
          <w:sz w:val="22"/>
          <w:szCs w:val="22"/>
        </w:rPr>
      </w:pPr>
    </w:p>
    <w:p w14:paraId="4B404C1C" w14:textId="77777777" w:rsidR="00CC1623" w:rsidRDefault="00CC1623" w:rsidP="00F264DA">
      <w:pPr>
        <w:pStyle w:val="Default"/>
        <w:jc w:val="both"/>
        <w:rPr>
          <w:rFonts w:ascii="Arial" w:eastAsia="Arial" w:hAnsi="Arial" w:cs="Arial"/>
          <w:bCs/>
          <w:color w:val="0000FF"/>
          <w:sz w:val="22"/>
          <w:szCs w:val="22"/>
        </w:rPr>
      </w:pPr>
    </w:p>
    <w:p w14:paraId="58B39FC1" w14:textId="08F3AE62" w:rsidR="00707E59" w:rsidRPr="00CC1623" w:rsidRDefault="00CC1623" w:rsidP="00F264DA">
      <w:pPr>
        <w:pStyle w:val="Default"/>
        <w:jc w:val="both"/>
        <w:rPr>
          <w:rFonts w:ascii="Arial" w:eastAsia="Arial" w:hAnsi="Arial" w:cs="Arial"/>
          <w:b/>
          <w:color w:val="EA8300" w:themeColor="accent4" w:themeShade="BF"/>
        </w:rPr>
      </w:pPr>
      <w:r w:rsidRPr="00CC1623">
        <w:rPr>
          <w:rFonts w:ascii="Arial" w:eastAsia="Arial" w:hAnsi="Arial" w:cs="Arial"/>
          <w:b/>
          <w:color w:val="EA8300" w:themeColor="accent4" w:themeShade="BF"/>
        </w:rPr>
        <w:lastRenderedPageBreak/>
        <w:t xml:space="preserve">2. </w:t>
      </w:r>
      <w:r w:rsidR="00797F6C" w:rsidRPr="00CC1623">
        <w:rPr>
          <w:rFonts w:ascii="Arial" w:eastAsia="Arial" w:hAnsi="Arial" w:cs="Arial"/>
          <w:b/>
          <w:color w:val="EA8300" w:themeColor="accent4" w:themeShade="BF"/>
        </w:rPr>
        <w:t xml:space="preserve">Monitoring and evaluation of the policy </w:t>
      </w:r>
    </w:p>
    <w:p w14:paraId="7E048607" w14:textId="77777777" w:rsidR="00797F6C" w:rsidRPr="00F264DA" w:rsidRDefault="00797F6C" w:rsidP="00F264DA">
      <w:pPr>
        <w:pStyle w:val="Default"/>
        <w:jc w:val="both"/>
        <w:rPr>
          <w:rFonts w:ascii="Arial" w:eastAsia="Arial" w:hAnsi="Arial" w:cs="Arial"/>
          <w:color w:val="0000FF"/>
          <w:sz w:val="22"/>
          <w:szCs w:val="22"/>
        </w:rPr>
      </w:pPr>
    </w:p>
    <w:p w14:paraId="0E96AF5C"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 xml:space="preserve">This policy will be monitored regularly for any changes in legislation or directions from the DFE which may have an effect and evaluated in the light of any comments made by the DFE, EFA, auditors and any other interested parties.  The Principal Finance Officer will monitor the level of reserves throughout the year and report to the Directors on any problematic variances against the level set or potential issues given the current expansion of member academies.    </w:t>
      </w:r>
    </w:p>
    <w:p w14:paraId="45D216CA" w14:textId="77777777" w:rsidR="00707E59" w:rsidRPr="00F264DA" w:rsidRDefault="00707E59" w:rsidP="00F264DA">
      <w:pPr>
        <w:pStyle w:val="Default"/>
        <w:jc w:val="both"/>
        <w:rPr>
          <w:rFonts w:ascii="Arial" w:eastAsia="Arial" w:hAnsi="Arial" w:cs="Arial"/>
          <w:bCs/>
          <w:color w:val="0000FF"/>
          <w:sz w:val="22"/>
          <w:szCs w:val="22"/>
        </w:rPr>
      </w:pPr>
    </w:p>
    <w:p w14:paraId="27C13055" w14:textId="61E7688A" w:rsidR="00707E59" w:rsidRPr="00CC1623" w:rsidRDefault="00CC1623" w:rsidP="00F264DA">
      <w:pPr>
        <w:pStyle w:val="Default"/>
        <w:jc w:val="both"/>
        <w:rPr>
          <w:rFonts w:ascii="Arial" w:eastAsia="Arial" w:hAnsi="Arial" w:cs="Arial"/>
          <w:b/>
          <w:color w:val="EA8300" w:themeColor="accent4" w:themeShade="BF"/>
        </w:rPr>
      </w:pPr>
      <w:r>
        <w:rPr>
          <w:rFonts w:ascii="Arial" w:eastAsia="Arial" w:hAnsi="Arial" w:cs="Arial"/>
          <w:b/>
          <w:color w:val="EA8300" w:themeColor="accent4" w:themeShade="BF"/>
        </w:rPr>
        <w:t xml:space="preserve">3. </w:t>
      </w:r>
      <w:r w:rsidR="00797F6C" w:rsidRPr="00CC1623">
        <w:rPr>
          <w:rFonts w:ascii="Arial" w:eastAsia="Arial" w:hAnsi="Arial" w:cs="Arial"/>
          <w:b/>
          <w:color w:val="EA8300" w:themeColor="accent4" w:themeShade="BF"/>
        </w:rPr>
        <w:t xml:space="preserve">Reviewing </w:t>
      </w:r>
    </w:p>
    <w:p w14:paraId="3967E467" w14:textId="77777777" w:rsidR="00797F6C" w:rsidRPr="00F264DA" w:rsidRDefault="00797F6C" w:rsidP="00F264DA">
      <w:pPr>
        <w:pStyle w:val="Default"/>
        <w:jc w:val="both"/>
        <w:rPr>
          <w:rFonts w:ascii="Arial" w:eastAsia="Arial" w:hAnsi="Arial" w:cs="Arial"/>
          <w:color w:val="0000FF"/>
          <w:sz w:val="22"/>
          <w:szCs w:val="22"/>
        </w:rPr>
      </w:pPr>
    </w:p>
    <w:p w14:paraId="61B20DBF"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The Trustees/Directors will carry out a review of this policy on a regular basis to ensure that any new or changed legislation is adhered to.</w:t>
      </w:r>
    </w:p>
    <w:p w14:paraId="06C6396C" w14:textId="77777777" w:rsidR="00707E59" w:rsidRPr="00F264DA" w:rsidRDefault="00707E59" w:rsidP="00F264DA">
      <w:pPr>
        <w:pStyle w:val="Default"/>
        <w:jc w:val="both"/>
        <w:rPr>
          <w:rFonts w:ascii="Arial" w:eastAsia="Arial" w:hAnsi="Arial" w:cs="Arial"/>
          <w:sz w:val="22"/>
          <w:szCs w:val="22"/>
        </w:rPr>
      </w:pPr>
    </w:p>
    <w:p w14:paraId="7D95A053" w14:textId="77777777" w:rsidR="00707E59" w:rsidRPr="00F264DA" w:rsidRDefault="00707E59" w:rsidP="00F264DA">
      <w:pPr>
        <w:pStyle w:val="Default"/>
        <w:jc w:val="both"/>
        <w:rPr>
          <w:rFonts w:ascii="Arial" w:eastAsia="Arial" w:hAnsi="Arial" w:cs="Arial"/>
          <w:sz w:val="22"/>
          <w:szCs w:val="22"/>
        </w:rPr>
      </w:pPr>
    </w:p>
    <w:p w14:paraId="703483EA" w14:textId="77777777" w:rsidR="00707E59" w:rsidRPr="00F264DA" w:rsidRDefault="00707E59" w:rsidP="00F264DA">
      <w:pPr>
        <w:pStyle w:val="Default"/>
        <w:jc w:val="both"/>
        <w:rPr>
          <w:rFonts w:ascii="Arial" w:eastAsia="Arial" w:hAnsi="Arial" w:cs="Arial"/>
          <w:sz w:val="22"/>
          <w:szCs w:val="22"/>
        </w:rPr>
      </w:pPr>
    </w:p>
    <w:p w14:paraId="29B59A46" w14:textId="77777777" w:rsidR="00707E59" w:rsidRPr="00F264DA" w:rsidRDefault="00707E59" w:rsidP="00F264DA">
      <w:pPr>
        <w:pStyle w:val="Default"/>
        <w:jc w:val="both"/>
        <w:rPr>
          <w:rFonts w:ascii="Arial" w:eastAsia="Arial" w:hAnsi="Arial" w:cs="Arial"/>
          <w:sz w:val="22"/>
          <w:szCs w:val="22"/>
        </w:rPr>
      </w:pPr>
    </w:p>
    <w:p w14:paraId="36EC496B" w14:textId="77777777" w:rsidR="00707E59" w:rsidRPr="00F264DA" w:rsidRDefault="00707E59" w:rsidP="00F264DA">
      <w:pPr>
        <w:pStyle w:val="Default"/>
        <w:jc w:val="both"/>
        <w:rPr>
          <w:rFonts w:ascii="Arial" w:eastAsia="Arial" w:hAnsi="Arial" w:cs="Arial"/>
          <w:sz w:val="22"/>
          <w:szCs w:val="22"/>
        </w:rPr>
      </w:pPr>
    </w:p>
    <w:p w14:paraId="21C96D7B" w14:textId="77777777" w:rsidR="00707E59" w:rsidRPr="00F264DA" w:rsidRDefault="00707E59" w:rsidP="00F264DA">
      <w:pPr>
        <w:pStyle w:val="Default"/>
        <w:jc w:val="both"/>
        <w:rPr>
          <w:rFonts w:ascii="Arial" w:eastAsia="Arial" w:hAnsi="Arial" w:cs="Arial"/>
          <w:sz w:val="22"/>
          <w:szCs w:val="22"/>
        </w:rPr>
      </w:pPr>
    </w:p>
    <w:p w14:paraId="4779D8D5" w14:textId="77777777" w:rsidR="00707E59" w:rsidRPr="00F264DA" w:rsidRDefault="00707E59" w:rsidP="00F264DA">
      <w:pPr>
        <w:pStyle w:val="Default"/>
        <w:jc w:val="both"/>
        <w:rPr>
          <w:rFonts w:ascii="Arial" w:eastAsia="Arial" w:hAnsi="Arial" w:cs="Arial"/>
          <w:sz w:val="22"/>
          <w:szCs w:val="22"/>
        </w:rPr>
      </w:pPr>
    </w:p>
    <w:p w14:paraId="2880325B" w14:textId="77777777" w:rsidR="00707E59" w:rsidRPr="00F264DA" w:rsidRDefault="00707E59" w:rsidP="00F264DA">
      <w:pPr>
        <w:pStyle w:val="Default"/>
        <w:jc w:val="both"/>
        <w:rPr>
          <w:rFonts w:ascii="Arial" w:eastAsia="Arial" w:hAnsi="Arial" w:cs="Arial"/>
          <w:sz w:val="22"/>
          <w:szCs w:val="22"/>
        </w:rPr>
      </w:pPr>
    </w:p>
    <w:p w14:paraId="591891C4" w14:textId="77777777" w:rsidR="00707E59" w:rsidRPr="00F264DA" w:rsidRDefault="00707E59" w:rsidP="00F264DA">
      <w:pPr>
        <w:pStyle w:val="Default"/>
        <w:jc w:val="both"/>
        <w:rPr>
          <w:rFonts w:ascii="Arial" w:eastAsia="Arial" w:hAnsi="Arial" w:cs="Arial"/>
          <w:sz w:val="22"/>
          <w:szCs w:val="22"/>
        </w:rPr>
      </w:pPr>
    </w:p>
    <w:p w14:paraId="1E9CFBB3" w14:textId="77777777" w:rsidR="00707E59" w:rsidRPr="00F264DA" w:rsidRDefault="00707E59" w:rsidP="00F264DA">
      <w:pPr>
        <w:pStyle w:val="Default"/>
        <w:jc w:val="both"/>
        <w:rPr>
          <w:rFonts w:ascii="Arial" w:eastAsia="Arial" w:hAnsi="Arial" w:cs="Arial"/>
          <w:sz w:val="22"/>
          <w:szCs w:val="22"/>
        </w:rPr>
      </w:pPr>
    </w:p>
    <w:p w14:paraId="0770C04C" w14:textId="77777777" w:rsidR="00707E59" w:rsidRPr="00F264DA" w:rsidRDefault="00707E59" w:rsidP="00F264DA">
      <w:pPr>
        <w:pStyle w:val="Default"/>
        <w:jc w:val="both"/>
        <w:rPr>
          <w:rFonts w:ascii="Arial" w:eastAsia="Arial" w:hAnsi="Arial" w:cs="Arial"/>
          <w:sz w:val="22"/>
          <w:szCs w:val="22"/>
        </w:rPr>
      </w:pPr>
    </w:p>
    <w:p w14:paraId="0B8DD4EA" w14:textId="77777777" w:rsidR="00707E59" w:rsidRPr="00F264DA" w:rsidRDefault="00707E59" w:rsidP="00F264DA">
      <w:pPr>
        <w:pStyle w:val="Default"/>
        <w:jc w:val="both"/>
        <w:rPr>
          <w:rFonts w:ascii="Arial" w:eastAsia="Arial" w:hAnsi="Arial" w:cs="Arial"/>
          <w:sz w:val="22"/>
          <w:szCs w:val="22"/>
        </w:rPr>
      </w:pPr>
    </w:p>
    <w:p w14:paraId="5B2DDC6A" w14:textId="77777777" w:rsidR="00707E59" w:rsidRPr="00F264DA" w:rsidRDefault="00707E59" w:rsidP="00F264DA">
      <w:pPr>
        <w:pStyle w:val="Default"/>
        <w:jc w:val="both"/>
        <w:rPr>
          <w:rFonts w:ascii="Arial" w:eastAsia="Arial" w:hAnsi="Arial" w:cs="Arial"/>
          <w:sz w:val="22"/>
          <w:szCs w:val="22"/>
        </w:rPr>
      </w:pPr>
    </w:p>
    <w:p w14:paraId="096DAC52" w14:textId="77777777" w:rsidR="00707E59" w:rsidRPr="00F264DA" w:rsidRDefault="00707E59" w:rsidP="00F264DA">
      <w:pPr>
        <w:pStyle w:val="Default"/>
        <w:jc w:val="both"/>
        <w:rPr>
          <w:rFonts w:ascii="Arial" w:eastAsia="Arial" w:hAnsi="Arial" w:cs="Arial"/>
          <w:sz w:val="22"/>
          <w:szCs w:val="22"/>
        </w:rPr>
      </w:pPr>
    </w:p>
    <w:p w14:paraId="4F788926" w14:textId="77777777" w:rsidR="00707E59" w:rsidRPr="00F264DA" w:rsidRDefault="00707E59" w:rsidP="00F264DA">
      <w:pPr>
        <w:pStyle w:val="Default"/>
        <w:jc w:val="both"/>
        <w:rPr>
          <w:rFonts w:ascii="Arial" w:eastAsia="Arial" w:hAnsi="Arial" w:cs="Arial"/>
          <w:sz w:val="22"/>
          <w:szCs w:val="22"/>
        </w:rPr>
      </w:pPr>
    </w:p>
    <w:p w14:paraId="5E325BF5" w14:textId="77777777" w:rsidR="00707E59" w:rsidRPr="00F264DA" w:rsidRDefault="00707E59" w:rsidP="00F264DA">
      <w:pPr>
        <w:pStyle w:val="Default"/>
        <w:jc w:val="both"/>
        <w:rPr>
          <w:rFonts w:ascii="Arial" w:eastAsia="Arial" w:hAnsi="Arial" w:cs="Arial"/>
          <w:sz w:val="22"/>
          <w:szCs w:val="22"/>
        </w:rPr>
      </w:pPr>
    </w:p>
    <w:p w14:paraId="4CFEA816" w14:textId="77777777" w:rsidR="00707E59" w:rsidRPr="00F264DA" w:rsidRDefault="00707E59" w:rsidP="00F264DA">
      <w:pPr>
        <w:pStyle w:val="Default"/>
        <w:jc w:val="both"/>
        <w:rPr>
          <w:rFonts w:ascii="Arial" w:eastAsia="Arial" w:hAnsi="Arial" w:cs="Arial"/>
          <w:sz w:val="22"/>
          <w:szCs w:val="22"/>
        </w:rPr>
      </w:pPr>
    </w:p>
    <w:p w14:paraId="608324EA" w14:textId="77777777" w:rsidR="00707E59" w:rsidRPr="00F264DA" w:rsidRDefault="00707E59" w:rsidP="00F264DA">
      <w:pPr>
        <w:pStyle w:val="Default"/>
        <w:jc w:val="both"/>
        <w:rPr>
          <w:rFonts w:ascii="Arial" w:hAnsi="Arial" w:cs="Arial"/>
          <w:sz w:val="22"/>
          <w:szCs w:val="22"/>
        </w:rPr>
      </w:pPr>
    </w:p>
    <w:sectPr w:rsidR="00707E59" w:rsidRPr="00F264DA">
      <w:headerReference w:type="default" r:id="rId9"/>
      <w:footerReference w:type="even" r:id="rId10"/>
      <w:footerReference w:type="default" r:id="rId11"/>
      <w:pgSz w:w="11900" w:h="16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5BC8" w14:textId="77777777" w:rsidR="00122CFD" w:rsidRDefault="00122CFD">
      <w:r>
        <w:separator/>
      </w:r>
    </w:p>
  </w:endnote>
  <w:endnote w:type="continuationSeparator" w:id="0">
    <w:p w14:paraId="25EBDD64" w14:textId="77777777" w:rsidR="00122CFD" w:rsidRDefault="001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2ADF" w14:textId="77777777" w:rsidR="00AF515D" w:rsidRDefault="00AF515D" w:rsidP="00FB61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6069F" w14:textId="77777777" w:rsidR="00AF515D" w:rsidRDefault="00AF515D" w:rsidP="00AF5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625" w14:textId="77777777" w:rsidR="00AF515D" w:rsidRPr="00AF515D" w:rsidRDefault="00AF515D" w:rsidP="00FB6141">
    <w:pPr>
      <w:pStyle w:val="Footer"/>
      <w:framePr w:wrap="none" w:vAnchor="text" w:hAnchor="margin" w:xAlign="right" w:y="1"/>
      <w:rPr>
        <w:rStyle w:val="PageNumber"/>
        <w:rFonts w:ascii="Arial" w:hAnsi="Arial" w:cs="Arial"/>
        <w:sz w:val="22"/>
      </w:rPr>
    </w:pPr>
    <w:r w:rsidRPr="00AF515D">
      <w:rPr>
        <w:rStyle w:val="PageNumber"/>
        <w:rFonts w:ascii="Arial" w:hAnsi="Arial" w:cs="Arial"/>
        <w:sz w:val="22"/>
      </w:rPr>
      <w:fldChar w:fldCharType="begin"/>
    </w:r>
    <w:r w:rsidRPr="00AF515D">
      <w:rPr>
        <w:rStyle w:val="PageNumber"/>
        <w:rFonts w:ascii="Arial" w:hAnsi="Arial" w:cs="Arial"/>
        <w:sz w:val="22"/>
      </w:rPr>
      <w:instrText xml:space="preserve">PAGE  </w:instrText>
    </w:r>
    <w:r w:rsidRPr="00AF515D">
      <w:rPr>
        <w:rStyle w:val="PageNumber"/>
        <w:rFonts w:ascii="Arial" w:hAnsi="Arial" w:cs="Arial"/>
        <w:sz w:val="22"/>
      </w:rPr>
      <w:fldChar w:fldCharType="separate"/>
    </w:r>
    <w:r w:rsidR="00437CD1">
      <w:rPr>
        <w:rStyle w:val="PageNumber"/>
        <w:rFonts w:ascii="Arial" w:hAnsi="Arial" w:cs="Arial"/>
        <w:noProof/>
        <w:sz w:val="22"/>
      </w:rPr>
      <w:t>1</w:t>
    </w:r>
    <w:r w:rsidRPr="00AF515D">
      <w:rPr>
        <w:rStyle w:val="PageNumber"/>
        <w:rFonts w:ascii="Arial" w:hAnsi="Arial" w:cs="Arial"/>
        <w:sz w:val="22"/>
      </w:rPr>
      <w:fldChar w:fldCharType="end"/>
    </w:r>
  </w:p>
  <w:p w14:paraId="4B8661D0" w14:textId="7247E045" w:rsidR="00707E59" w:rsidRPr="00797F6C" w:rsidRDefault="00437CD1" w:rsidP="00AF515D">
    <w:pPr>
      <w:pStyle w:val="HeaderFooter"/>
      <w:ind w:right="360"/>
      <w:rPr>
        <w:rFonts w:ascii="Arial" w:hAnsi="Arial" w:cs="Arial"/>
        <w:sz w:val="20"/>
        <w:szCs w:val="20"/>
      </w:rPr>
    </w:pPr>
    <w:r>
      <w:rPr>
        <w:rFonts w:ascii="Arial" w:hAnsi="Arial" w:cs="Arial"/>
        <w:sz w:val="22"/>
        <w:szCs w:val="20"/>
      </w:rPr>
      <w:t>PK/JY</w:t>
    </w:r>
    <w:r w:rsidR="00AF515D" w:rsidRPr="00AF515D">
      <w:rPr>
        <w:rFonts w:ascii="Arial" w:hAnsi="Arial" w:cs="Arial"/>
        <w:sz w:val="22"/>
        <w:szCs w:val="20"/>
      </w:rPr>
      <w:ptab w:relativeTo="margin" w:alignment="center" w:leader="none"/>
    </w:r>
    <w:r w:rsidR="00AF515D" w:rsidRPr="00AF515D">
      <w:rPr>
        <w:rFonts w:ascii="Arial" w:hAnsi="Arial" w:cs="Arial"/>
        <w:sz w:val="22"/>
        <w:szCs w:val="20"/>
      </w:rPr>
      <w:fldChar w:fldCharType="begin"/>
    </w:r>
    <w:r w:rsidR="00AF515D" w:rsidRPr="00AF515D">
      <w:rPr>
        <w:rFonts w:ascii="Arial" w:hAnsi="Arial" w:cs="Arial"/>
        <w:sz w:val="22"/>
        <w:szCs w:val="20"/>
      </w:rPr>
      <w:instrText xml:space="preserve"> DATE \@ "MMMM yy" </w:instrText>
    </w:r>
    <w:r w:rsidR="00AF515D" w:rsidRPr="00AF515D">
      <w:rPr>
        <w:rFonts w:ascii="Arial" w:hAnsi="Arial" w:cs="Arial"/>
        <w:sz w:val="22"/>
        <w:szCs w:val="20"/>
      </w:rPr>
      <w:fldChar w:fldCharType="separate"/>
    </w:r>
    <w:r w:rsidR="00CE73DA">
      <w:rPr>
        <w:rFonts w:ascii="Arial" w:hAnsi="Arial" w:cs="Arial"/>
        <w:noProof/>
        <w:sz w:val="22"/>
        <w:szCs w:val="20"/>
      </w:rPr>
      <w:t>September 19</w:t>
    </w:r>
    <w:r w:rsidR="00AF515D" w:rsidRPr="00AF515D">
      <w:rPr>
        <w:rFonts w:ascii="Arial" w:hAnsi="Arial" w:cs="Arial"/>
        <w:sz w:val="22"/>
        <w:szCs w:val="20"/>
      </w:rPr>
      <w:fldChar w:fldCharType="end"/>
    </w:r>
    <w:r w:rsidR="00AF515D" w:rsidRPr="00AF515D">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2BCE" w14:textId="77777777" w:rsidR="00122CFD" w:rsidRDefault="00122CFD">
      <w:r>
        <w:separator/>
      </w:r>
    </w:p>
  </w:footnote>
  <w:footnote w:type="continuationSeparator" w:id="0">
    <w:p w14:paraId="5E61AB4F" w14:textId="77777777" w:rsidR="00122CFD" w:rsidRDefault="0012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81C" w14:textId="779F9726" w:rsidR="00707E59" w:rsidRPr="00797F6C" w:rsidRDefault="0061500E">
    <w:pPr>
      <w:pStyle w:val="Header"/>
      <w:rPr>
        <w:rFonts w:ascii="Arial" w:hAnsi="Arial" w:cs="Arial"/>
      </w:rPr>
    </w:pPr>
    <w:r>
      <w:rPr>
        <w:noProof/>
        <w:lang w:val="en-GB" w:eastAsia="en-GB"/>
      </w:rPr>
      <w:drawing>
        <wp:anchor distT="0" distB="0" distL="114300" distR="114300" simplePos="0" relativeHeight="251659264" behindDoc="0" locked="0" layoutInCell="1" allowOverlap="1" wp14:anchorId="63FD41E0" wp14:editId="5D5221DD">
          <wp:simplePos x="0" y="0"/>
          <wp:positionH relativeFrom="column">
            <wp:posOffset>5090795</wp:posOffset>
          </wp:positionH>
          <wp:positionV relativeFrom="paragraph">
            <wp:posOffset>-340995</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F6C" w:rsidRPr="00797F6C">
      <w:rPr>
        <w:rFonts w:ascii="Arial" w:hAnsi="Arial" w:cs="Arial"/>
      </w:rPr>
      <w:tab/>
    </w:r>
    <w:r w:rsidR="00797F6C" w:rsidRPr="00797F6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EBB"/>
    <w:multiLevelType w:val="multilevel"/>
    <w:tmpl w:val="F3D61A4A"/>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 w15:restartNumberingAfterBreak="0">
    <w:nsid w:val="02243DDB"/>
    <w:multiLevelType w:val="multilevel"/>
    <w:tmpl w:val="59BE3B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42A65BE"/>
    <w:multiLevelType w:val="multilevel"/>
    <w:tmpl w:val="D35CFB1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055D5EDD"/>
    <w:multiLevelType w:val="multilevel"/>
    <w:tmpl w:val="2338612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0BBC696C"/>
    <w:multiLevelType w:val="multilevel"/>
    <w:tmpl w:val="5AFAB37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17066774"/>
    <w:multiLevelType w:val="multilevel"/>
    <w:tmpl w:val="30569F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2711437"/>
    <w:multiLevelType w:val="multilevel"/>
    <w:tmpl w:val="867A9A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7" w15:restartNumberingAfterBreak="0">
    <w:nsid w:val="2B0506DF"/>
    <w:multiLevelType w:val="multilevel"/>
    <w:tmpl w:val="9212326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8" w15:restartNumberingAfterBreak="0">
    <w:nsid w:val="314D23F1"/>
    <w:multiLevelType w:val="multilevel"/>
    <w:tmpl w:val="1EC6D680"/>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15:restartNumberingAfterBreak="0">
    <w:nsid w:val="356818E1"/>
    <w:multiLevelType w:val="multilevel"/>
    <w:tmpl w:val="4532F4A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37376B92"/>
    <w:multiLevelType w:val="multilevel"/>
    <w:tmpl w:val="FC9ECA0E"/>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1" w15:restartNumberingAfterBreak="0">
    <w:nsid w:val="4C906A1E"/>
    <w:multiLevelType w:val="multilevel"/>
    <w:tmpl w:val="97CE552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15:restartNumberingAfterBreak="0">
    <w:nsid w:val="4FE970BD"/>
    <w:multiLevelType w:val="multilevel"/>
    <w:tmpl w:val="C3D423C8"/>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3" w15:restartNumberingAfterBreak="0">
    <w:nsid w:val="50CE2A85"/>
    <w:multiLevelType w:val="hybridMultilevel"/>
    <w:tmpl w:val="3624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95CC4"/>
    <w:multiLevelType w:val="multilevel"/>
    <w:tmpl w:val="49661D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64DF0077"/>
    <w:multiLevelType w:val="multilevel"/>
    <w:tmpl w:val="29E0BC18"/>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6" w15:restartNumberingAfterBreak="0">
    <w:nsid w:val="721F4DA8"/>
    <w:multiLevelType w:val="multilevel"/>
    <w:tmpl w:val="FC5CE6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7" w15:restartNumberingAfterBreak="0">
    <w:nsid w:val="7F8E32D3"/>
    <w:multiLevelType w:val="multilevel"/>
    <w:tmpl w:val="08C0FD1C"/>
    <w:styleLink w:val="Li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12"/>
  </w:num>
  <w:num w:numId="2">
    <w:abstractNumId w:val="1"/>
  </w:num>
  <w:num w:numId="3">
    <w:abstractNumId w:val="0"/>
  </w:num>
  <w:num w:numId="4">
    <w:abstractNumId w:val="2"/>
  </w:num>
  <w:num w:numId="5">
    <w:abstractNumId w:val="15"/>
  </w:num>
  <w:num w:numId="6">
    <w:abstractNumId w:val="11"/>
  </w:num>
  <w:num w:numId="7">
    <w:abstractNumId w:val="14"/>
  </w:num>
  <w:num w:numId="8">
    <w:abstractNumId w:val="6"/>
  </w:num>
  <w:num w:numId="9">
    <w:abstractNumId w:val="9"/>
  </w:num>
  <w:num w:numId="10">
    <w:abstractNumId w:val="8"/>
  </w:num>
  <w:num w:numId="11">
    <w:abstractNumId w:val="10"/>
  </w:num>
  <w:num w:numId="12">
    <w:abstractNumId w:val="5"/>
  </w:num>
  <w:num w:numId="13">
    <w:abstractNumId w:val="16"/>
  </w:num>
  <w:num w:numId="14">
    <w:abstractNumId w:val="7"/>
  </w:num>
  <w:num w:numId="15">
    <w:abstractNumId w:val="3"/>
  </w:num>
  <w:num w:numId="16">
    <w:abstractNumId w:val="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59"/>
    <w:rsid w:val="000C1ABA"/>
    <w:rsid w:val="001127B4"/>
    <w:rsid w:val="00122CFD"/>
    <w:rsid w:val="001818EC"/>
    <w:rsid w:val="003E696B"/>
    <w:rsid w:val="00437CD1"/>
    <w:rsid w:val="004D0C45"/>
    <w:rsid w:val="0061500E"/>
    <w:rsid w:val="006E27B1"/>
    <w:rsid w:val="00707E59"/>
    <w:rsid w:val="00711797"/>
    <w:rsid w:val="00797F6C"/>
    <w:rsid w:val="00923BFB"/>
    <w:rsid w:val="00942C6E"/>
    <w:rsid w:val="00AF515D"/>
    <w:rsid w:val="00B10141"/>
    <w:rsid w:val="00B44775"/>
    <w:rsid w:val="00BA246F"/>
    <w:rsid w:val="00CC1623"/>
    <w:rsid w:val="00CE73DA"/>
    <w:rsid w:val="00E02719"/>
    <w:rsid w:val="00E872F3"/>
    <w:rsid w:val="00EB6AAD"/>
    <w:rsid w:val="00F264DA"/>
    <w:rsid w:val="00F9620F"/>
    <w:rsid w:val="00FE4DF1"/>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A8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eastAsia="Times New Roman"/>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Tahoma" w:eastAsia="Tahoma" w:hAnsi="Tahoma" w:cs="Tahoma"/>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NoSpacing">
    <w:name w:val="No Spacing"/>
    <w:rPr>
      <w:rFonts w:eastAsia="Times New Roman"/>
      <w:color w:val="000000"/>
      <w:u w:color="000000"/>
      <w:lang w:val="en-US"/>
    </w:rPr>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797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F6C"/>
    <w:rPr>
      <w:rFonts w:ascii="Lucida Grande" w:hAnsi="Lucida Grande" w:cs="Lucida Grande"/>
      <w:sz w:val="18"/>
      <w:szCs w:val="18"/>
      <w:lang w:val="en-US"/>
    </w:rPr>
  </w:style>
  <w:style w:type="paragraph" w:styleId="Footer">
    <w:name w:val="footer"/>
    <w:basedOn w:val="Normal"/>
    <w:link w:val="FooterChar"/>
    <w:uiPriority w:val="99"/>
    <w:unhideWhenUsed/>
    <w:rsid w:val="00797F6C"/>
    <w:pPr>
      <w:tabs>
        <w:tab w:val="center" w:pos="4320"/>
        <w:tab w:val="right" w:pos="8640"/>
      </w:tabs>
    </w:pPr>
  </w:style>
  <w:style w:type="character" w:customStyle="1" w:styleId="FooterChar">
    <w:name w:val="Footer Char"/>
    <w:basedOn w:val="DefaultParagraphFont"/>
    <w:link w:val="Footer"/>
    <w:uiPriority w:val="99"/>
    <w:rsid w:val="00797F6C"/>
    <w:rPr>
      <w:sz w:val="24"/>
      <w:szCs w:val="24"/>
      <w:lang w:val="en-US"/>
    </w:rPr>
  </w:style>
  <w:style w:type="character" w:styleId="PageNumber">
    <w:name w:val="page number"/>
    <w:basedOn w:val="DefaultParagraphFont"/>
    <w:uiPriority w:val="99"/>
    <w:semiHidden/>
    <w:unhideWhenUsed/>
    <w:rsid w:val="00AF515D"/>
  </w:style>
  <w:style w:type="paragraph" w:customStyle="1" w:styleId="BodyA">
    <w:name w:val="Body A"/>
    <w:rsid w:val="000C1ABA"/>
    <w:rPr>
      <w:rFonts w:ascii="Helvetica" w:hAnsi="Helvetica" w:cs="Arial Unicode MS"/>
      <w:color w:val="000000"/>
      <w:sz w:val="22"/>
      <w:szCs w:val="22"/>
      <w:u w:color="000000"/>
      <w:lang w:val="fr-FR"/>
    </w:rPr>
  </w:style>
  <w:style w:type="paragraph" w:customStyle="1" w:styleId="paragraph">
    <w:name w:val="paragraph"/>
    <w:basedOn w:val="Normal"/>
    <w:rsid w:val="000C1A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eop">
    <w:name w:val="eop"/>
    <w:basedOn w:val="DefaultParagraphFont"/>
    <w:rsid w:val="000C1ABA"/>
  </w:style>
  <w:style w:type="character" w:customStyle="1" w:styleId="normaltextrun">
    <w:name w:val="normaltextrun"/>
    <w:basedOn w:val="DefaultParagraphFont"/>
    <w:rsid w:val="000C1ABA"/>
  </w:style>
  <w:style w:type="table" w:styleId="TableGrid">
    <w:name w:val="Table Grid"/>
    <w:basedOn w:val="TableNormal"/>
    <w:uiPriority w:val="39"/>
    <w:rsid w:val="000C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Younger</dc:creator>
  <cp:lastModifiedBy>ELT Information</cp:lastModifiedBy>
  <cp:revision>8</cp:revision>
  <cp:lastPrinted>2017-07-24T11:12:00Z</cp:lastPrinted>
  <dcterms:created xsi:type="dcterms:W3CDTF">2018-12-10T14:49:00Z</dcterms:created>
  <dcterms:modified xsi:type="dcterms:W3CDTF">2019-09-05T10:46:00Z</dcterms:modified>
</cp:coreProperties>
</file>