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0592" w14:textId="553C86B3" w:rsidR="00E2681B" w:rsidRPr="00F5134D" w:rsidRDefault="00254CF6" w:rsidP="00E2681B">
      <w:pPr>
        <w:rPr>
          <w:rFonts w:ascii="Arial" w:hAnsi="Arial" w:cs="Arial"/>
          <w:noProof/>
        </w:rPr>
      </w:pPr>
    </w:p>
    <w:p w14:paraId="31E5AFB5" w14:textId="616D1767" w:rsidR="00E2681B" w:rsidRPr="00F5134D" w:rsidRDefault="00254CF6" w:rsidP="00E2681B">
      <w:pPr>
        <w:rPr>
          <w:rFonts w:ascii="Arial" w:hAnsi="Arial" w:cs="Arial"/>
          <w:noProof/>
        </w:rPr>
      </w:pPr>
    </w:p>
    <w:p w14:paraId="3127A2D6" w14:textId="77777777" w:rsidR="00E2681B" w:rsidRPr="00F5134D" w:rsidRDefault="00254CF6" w:rsidP="00E2681B">
      <w:pPr>
        <w:rPr>
          <w:rFonts w:ascii="Arial" w:hAnsi="Arial" w:cs="Arial"/>
          <w:noProof/>
        </w:rPr>
      </w:pPr>
    </w:p>
    <w:p w14:paraId="693028A1" w14:textId="6D05D771" w:rsidR="00E2681B" w:rsidRPr="00F5134D" w:rsidRDefault="00254CF6" w:rsidP="00E2681B">
      <w:pPr>
        <w:rPr>
          <w:rFonts w:ascii="Arial" w:hAnsi="Arial" w:cs="Arial"/>
          <w:noProof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7303"/>
      </w:tblGrid>
      <w:tr w:rsidR="00C01249" w:rsidRPr="00F5134D" w14:paraId="278C0511" w14:textId="77777777" w:rsidTr="00C01249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787123CC" w14:textId="28DEAD1B" w:rsidR="00E2681B" w:rsidRPr="00F5134D" w:rsidRDefault="00254CF6" w:rsidP="00C01249">
            <w:pPr>
              <w:rPr>
                <w:rFonts w:ascii="Arial" w:hAnsi="Arial" w:cs="Arial"/>
                <w:b/>
                <w:noProof/>
              </w:rPr>
            </w:pPr>
            <w:r w:rsidRPr="00F5134D">
              <w:rPr>
                <w:rFonts w:ascii="Arial" w:hAnsi="Arial" w:cs="Arial"/>
                <w:b/>
                <w:noProof/>
              </w:rPr>
              <w:t>Post:</w:t>
            </w:r>
          </w:p>
        </w:tc>
        <w:tc>
          <w:tcPr>
            <w:tcW w:w="7478" w:type="dxa"/>
          </w:tcPr>
          <w:p w14:paraId="0970C7B1" w14:textId="49DBD7BD" w:rsidR="00E2681B" w:rsidRPr="00F5134D" w:rsidRDefault="00254CF6" w:rsidP="00C0124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</w:rPr>
            </w:pPr>
            <w:r w:rsidRPr="00F5134D">
              <w:rPr>
                <w:rFonts w:ascii="Arial" w:hAnsi="Arial" w:cs="Arial"/>
                <w:b/>
                <w:noProof/>
              </w:rPr>
              <w:t>Estate Assistant</w:t>
            </w:r>
          </w:p>
          <w:p w14:paraId="277751DB" w14:textId="76A740E0" w:rsidR="00E2681B" w:rsidRPr="00F5134D" w:rsidRDefault="00254CF6" w:rsidP="00C01249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C01249" w:rsidRPr="00F5134D" w14:paraId="20229148" w14:textId="77777777" w:rsidTr="00C01249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41AB3418" w14:textId="1A3AAB50" w:rsidR="00E2681B" w:rsidRPr="00F5134D" w:rsidRDefault="00254CF6" w:rsidP="00C01249">
            <w:pPr>
              <w:rPr>
                <w:rFonts w:ascii="Arial" w:hAnsi="Arial" w:cs="Arial"/>
                <w:b/>
                <w:noProof/>
              </w:rPr>
            </w:pPr>
            <w:r w:rsidRPr="00F5134D">
              <w:rPr>
                <w:rFonts w:ascii="Arial" w:hAnsi="Arial" w:cs="Arial"/>
                <w:b/>
                <w:noProof/>
              </w:rPr>
              <w:t>Purpose of</w:t>
            </w:r>
            <w:r w:rsidRPr="00F5134D">
              <w:rPr>
                <w:rFonts w:ascii="Arial" w:hAnsi="Arial" w:cs="Arial"/>
                <w:b/>
                <w:noProof/>
              </w:rPr>
              <w:t xml:space="preserve"> post:</w:t>
            </w:r>
          </w:p>
        </w:tc>
        <w:tc>
          <w:tcPr>
            <w:tcW w:w="7478" w:type="dxa"/>
          </w:tcPr>
          <w:p w14:paraId="5FFA4B2B" w14:textId="396A5495" w:rsidR="0003373E" w:rsidRPr="00F5134D" w:rsidRDefault="00254CF6" w:rsidP="00C01249">
            <w:pPr>
              <w:ind w:left="720"/>
              <w:rPr>
                <w:rFonts w:ascii="Arial" w:hAnsi="Arial" w:cs="Arial"/>
                <w:noProof/>
              </w:rPr>
            </w:pPr>
            <w:r w:rsidRPr="00F5134D">
              <w:rPr>
                <w:rFonts w:ascii="Arial" w:hAnsi="Arial" w:cs="Arial"/>
              </w:rPr>
              <w:t xml:space="preserve">Responsible to the Estates Manager / Director of Business and Operations, the post holder supports the estates management and ensures that each academy complies with all relevant legislation </w:t>
            </w:r>
            <w:r w:rsidRPr="00F5134D">
              <w:rPr>
                <w:rFonts w:ascii="Arial" w:hAnsi="Arial" w:cs="Arial"/>
              </w:rPr>
              <w:t>regarding the management, maintenance and use of the facilities. In addition, the post holder will be involved in projects across the whole Trust.</w:t>
            </w:r>
            <w:r w:rsidRPr="00F5134D">
              <w:rPr>
                <w:rFonts w:ascii="Arial" w:hAnsi="Arial" w:cs="Arial"/>
              </w:rPr>
              <w:br/>
            </w:r>
          </w:p>
        </w:tc>
      </w:tr>
      <w:tr w:rsidR="00C01249" w:rsidRPr="00F5134D" w14:paraId="13FF955D" w14:textId="77777777" w:rsidTr="00C01249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0740B538" w14:textId="1EDF8DBD" w:rsidR="0003373E" w:rsidRPr="00F5134D" w:rsidRDefault="00254CF6" w:rsidP="00C01249">
            <w:pPr>
              <w:rPr>
                <w:rFonts w:ascii="Arial" w:hAnsi="Arial" w:cs="Arial"/>
                <w:b/>
                <w:noProof/>
              </w:rPr>
            </w:pPr>
            <w:r w:rsidRPr="00F5134D">
              <w:rPr>
                <w:rFonts w:ascii="Arial" w:hAnsi="Arial" w:cs="Arial"/>
                <w:b/>
                <w:noProof/>
              </w:rPr>
              <w:t>Reporting to:</w:t>
            </w:r>
          </w:p>
        </w:tc>
        <w:tc>
          <w:tcPr>
            <w:tcW w:w="7478" w:type="dxa"/>
          </w:tcPr>
          <w:p w14:paraId="45FA563F" w14:textId="77777777" w:rsidR="00F5134D" w:rsidRPr="00F5134D" w:rsidRDefault="00254CF6" w:rsidP="00C01249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 w:rsidRPr="00F5134D">
              <w:rPr>
                <w:rFonts w:ascii="Arial" w:hAnsi="Arial" w:cs="Arial"/>
                <w:noProof/>
              </w:rPr>
              <w:t>Estates Manager</w:t>
            </w:r>
          </w:p>
          <w:p w14:paraId="5874CD94" w14:textId="2E81D5F8" w:rsidR="00F5134D" w:rsidRPr="00F5134D" w:rsidRDefault="00254CF6" w:rsidP="00C01249">
            <w:pPr>
              <w:ind w:left="720"/>
              <w:rPr>
                <w:rFonts w:ascii="Arial" w:hAnsi="Arial" w:cs="Arial"/>
                <w:noProof/>
              </w:rPr>
            </w:pPr>
          </w:p>
        </w:tc>
      </w:tr>
      <w:tr w:rsidR="00C01249" w:rsidRPr="00F5134D" w14:paraId="2A1D7910" w14:textId="77777777" w:rsidTr="00C01249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17A30135" w14:textId="755DE75D" w:rsidR="00F5134D" w:rsidRPr="00F5134D" w:rsidRDefault="00254CF6" w:rsidP="00C01249">
            <w:pPr>
              <w:rPr>
                <w:rFonts w:ascii="Arial" w:hAnsi="Arial" w:cs="Arial"/>
                <w:b/>
                <w:noProof/>
              </w:rPr>
            </w:pPr>
            <w:r w:rsidRPr="00F5134D">
              <w:rPr>
                <w:rFonts w:ascii="Arial" w:hAnsi="Arial" w:cs="Arial"/>
                <w:b/>
                <w:noProof/>
              </w:rPr>
              <w:t>Salary</w:t>
            </w:r>
          </w:p>
        </w:tc>
        <w:tc>
          <w:tcPr>
            <w:tcW w:w="7478" w:type="dxa"/>
          </w:tcPr>
          <w:p w14:paraId="637211B0" w14:textId="2FCB8FD8" w:rsidR="00F5134D" w:rsidRPr="00F5134D" w:rsidRDefault="00254CF6" w:rsidP="00C01249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 w:rsidRPr="00F5134D">
              <w:rPr>
                <w:rFonts w:ascii="Arial" w:hAnsi="Arial" w:cs="Arial"/>
              </w:rPr>
              <w:t>Scale point 18 - 23 (24,313 - 26,999)</w:t>
            </w:r>
          </w:p>
        </w:tc>
      </w:tr>
    </w:tbl>
    <w:p w14:paraId="4B748755" w14:textId="768C3D14" w:rsidR="007C258A" w:rsidRPr="00F5134D" w:rsidRDefault="00C01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14:paraId="5078B739" w14:textId="4FA04D9E" w:rsidR="007C258A" w:rsidRPr="00F5134D" w:rsidRDefault="00254CF6">
      <w:pPr>
        <w:rPr>
          <w:rFonts w:ascii="Arial" w:hAnsi="Arial" w:cs="Arial"/>
          <w:b/>
        </w:rPr>
      </w:pPr>
      <w:r w:rsidRPr="00F5134D">
        <w:rPr>
          <w:rFonts w:ascii="Arial" w:hAnsi="Arial" w:cs="Arial"/>
          <w:b/>
        </w:rPr>
        <w:t xml:space="preserve">Main </w:t>
      </w:r>
      <w:r w:rsidRPr="00F5134D">
        <w:rPr>
          <w:rFonts w:ascii="Arial" w:hAnsi="Arial" w:cs="Arial"/>
          <w:b/>
        </w:rPr>
        <w:t>responsibilities</w:t>
      </w:r>
      <w:r w:rsidRPr="00F5134D">
        <w:rPr>
          <w:rFonts w:ascii="Arial" w:hAnsi="Arial" w:cs="Arial"/>
          <w:b/>
        </w:rPr>
        <w:t>:</w:t>
      </w:r>
    </w:p>
    <w:p w14:paraId="1A222970" w14:textId="77777777" w:rsidR="007C258A" w:rsidRPr="00F5134D" w:rsidRDefault="00254CF6">
      <w:pPr>
        <w:rPr>
          <w:rFonts w:ascii="Arial" w:hAnsi="Arial" w:cs="Arial"/>
        </w:rPr>
      </w:pPr>
    </w:p>
    <w:p w14:paraId="1201EA3E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Calculate and compare costs for required goods or services to achieve maximum value for money</w:t>
      </w:r>
    </w:p>
    <w:p w14:paraId="6E840744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Assist in the project management, collaborating with stakeholders and ensure delivery on time and on budget</w:t>
      </w:r>
    </w:p>
    <w:p w14:paraId="5A17A520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Produce, manipulate and analyse reports</w:t>
      </w:r>
    </w:p>
    <w:p w14:paraId="5826AC58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Apply a consistent approach across all academies, including relevant documentation for lessons learned and audit purposes.</w:t>
      </w:r>
    </w:p>
    <w:p w14:paraId="65EA7BB6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Help to manage an efficient estates service to all employees</w:t>
      </w:r>
    </w:p>
    <w:p w14:paraId="6F98EA3A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 xml:space="preserve">Assist in the </w:t>
      </w:r>
      <w:r w:rsidRPr="00F5134D">
        <w:rPr>
          <w:sz w:val="22"/>
          <w:szCs w:val="22"/>
          <w:shd w:val="clear" w:color="auto" w:fill="FFFFFF"/>
        </w:rPr>
        <w:t>management of utilities, planned and reactive maintenance, inspections and recommendations</w:t>
      </w:r>
    </w:p>
    <w:p w14:paraId="585EAF9A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Provide appropriate support to academies during, after and upon implementation of projects to ensure disruption is minimal</w:t>
      </w:r>
    </w:p>
    <w:p w14:paraId="43837C97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Respond appropriately to emergencies or ur</w:t>
      </w:r>
      <w:r w:rsidRPr="00F5134D">
        <w:rPr>
          <w:sz w:val="22"/>
          <w:szCs w:val="22"/>
          <w:shd w:val="clear" w:color="auto" w:fill="FFFFFF"/>
        </w:rPr>
        <w:t>gent issues as they arise</w:t>
      </w:r>
    </w:p>
    <w:p w14:paraId="264F77EF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Contribute to the setting of priority objectives in liaison with Directors</w:t>
      </w:r>
    </w:p>
    <w:p w14:paraId="51B8E5D0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Lead and support projects across Trust.</w:t>
      </w:r>
    </w:p>
    <w:p w14:paraId="20F71629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Assist with Development and management of Estates Compliance Plan</w:t>
      </w:r>
    </w:p>
    <w:p w14:paraId="4219D433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Ensure buildings and estates meet statutory healt</w:t>
      </w:r>
      <w:r w:rsidRPr="00F5134D">
        <w:rPr>
          <w:sz w:val="22"/>
          <w:szCs w:val="22"/>
          <w:shd w:val="clear" w:color="auto" w:fill="FFFFFF"/>
        </w:rPr>
        <w:t>h and safety requirements</w:t>
      </w:r>
    </w:p>
    <w:p w14:paraId="73EE6FEE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Ensure work by staff or contractors is being completed safely as agreed and follow up on any deficiencies.</w:t>
      </w:r>
    </w:p>
    <w:p w14:paraId="6FF8379A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Contact for estates relate issues</w:t>
      </w:r>
    </w:p>
    <w:p w14:paraId="207A060C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Assist in the set up and agreement of central and regional contracts</w:t>
      </w:r>
    </w:p>
    <w:p w14:paraId="0446B63B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Assist in the develo</w:t>
      </w:r>
      <w:r w:rsidRPr="00F5134D">
        <w:rPr>
          <w:sz w:val="22"/>
          <w:szCs w:val="22"/>
          <w:shd w:val="clear" w:color="auto" w:fill="FFFFFF"/>
        </w:rPr>
        <w:t>pment and maintenance of preferred contractor lists</w:t>
      </w:r>
    </w:p>
    <w:p w14:paraId="27C9ADEE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Attend meetings with Principals, Senior Management and site teams to support operational delivery</w:t>
      </w:r>
    </w:p>
    <w:p w14:paraId="7F225BA6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>Assist with management and monitoring of estates contracts</w:t>
      </w:r>
    </w:p>
    <w:p w14:paraId="6422E77D" w14:textId="77777777" w:rsidR="00F5134D" w:rsidRPr="00F5134D" w:rsidRDefault="00254CF6" w:rsidP="00F51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  <w:shd w:val="clear" w:color="auto" w:fill="FFFFFF"/>
        </w:rPr>
      </w:pPr>
      <w:r w:rsidRPr="00F5134D">
        <w:rPr>
          <w:sz w:val="22"/>
          <w:szCs w:val="22"/>
          <w:shd w:val="clear" w:color="auto" w:fill="FFFFFF"/>
        </w:rPr>
        <w:t xml:space="preserve">Maintain regular contact with all key </w:t>
      </w:r>
      <w:r w:rsidRPr="00F5134D">
        <w:rPr>
          <w:sz w:val="22"/>
          <w:szCs w:val="22"/>
          <w:shd w:val="clear" w:color="auto" w:fill="FFFFFF"/>
        </w:rPr>
        <w:t>stakeholders, ensuring goals and required actions are clearly and regularly communicated.</w:t>
      </w:r>
    </w:p>
    <w:p w14:paraId="0B3D215A" w14:textId="77777777" w:rsidR="00F5134D" w:rsidRPr="00F5134D" w:rsidRDefault="00254CF6" w:rsidP="00F5134D">
      <w:pPr>
        <w:rPr>
          <w:rFonts w:ascii="Arial" w:hAnsi="Arial" w:cs="Arial"/>
        </w:rPr>
      </w:pPr>
    </w:p>
    <w:p w14:paraId="50121A37" w14:textId="5B717A51" w:rsidR="0003373E" w:rsidRPr="00F5134D" w:rsidRDefault="00254CF6" w:rsidP="0003373E">
      <w:pPr>
        <w:rPr>
          <w:rFonts w:ascii="Arial" w:hAnsi="Arial" w:cs="Arial"/>
          <w:b/>
        </w:rPr>
      </w:pPr>
      <w:r w:rsidRPr="00F5134D">
        <w:rPr>
          <w:rFonts w:ascii="Arial" w:hAnsi="Arial" w:cs="Arial"/>
          <w:b/>
        </w:rPr>
        <w:t>As an employee of the Trust:</w:t>
      </w:r>
    </w:p>
    <w:p w14:paraId="2B6E5FFA" w14:textId="4464B889" w:rsidR="0003373E" w:rsidRPr="00F5134D" w:rsidRDefault="00254CF6" w:rsidP="0003373E">
      <w:pPr>
        <w:rPr>
          <w:rFonts w:ascii="Arial" w:hAnsi="Arial" w:cs="Arial"/>
        </w:rPr>
      </w:pPr>
    </w:p>
    <w:p w14:paraId="391EDAF8" w14:textId="5145400C" w:rsidR="00C15EC7" w:rsidRPr="00F5134D" w:rsidRDefault="00254CF6" w:rsidP="0003373E">
      <w:pPr>
        <w:numPr>
          <w:ilvl w:val="0"/>
          <w:numId w:val="4"/>
        </w:numPr>
        <w:rPr>
          <w:rFonts w:ascii="Arial" w:hAnsi="Arial" w:cs="Arial"/>
        </w:rPr>
      </w:pPr>
      <w:r w:rsidRPr="00F5134D">
        <w:rPr>
          <w:rFonts w:ascii="Arial" w:hAnsi="Arial" w:cs="Arial"/>
        </w:rPr>
        <w:t>Ensure all work</w:t>
      </w:r>
      <w:r w:rsidRPr="00F5134D">
        <w:rPr>
          <w:rFonts w:ascii="Arial" w:hAnsi="Arial" w:cs="Arial"/>
        </w:rPr>
        <w:t xml:space="preserve"> is undertaken in line with Trust </w:t>
      </w:r>
      <w:r w:rsidRPr="00F5134D">
        <w:rPr>
          <w:rFonts w:ascii="Arial" w:hAnsi="Arial" w:cs="Arial"/>
        </w:rPr>
        <w:t>policies, pr</w:t>
      </w:r>
      <w:r w:rsidRPr="00F5134D">
        <w:rPr>
          <w:rFonts w:ascii="Arial" w:hAnsi="Arial" w:cs="Arial"/>
        </w:rPr>
        <w:t>ocedures and guidance documents</w:t>
      </w:r>
      <w:r w:rsidRPr="00F5134D">
        <w:rPr>
          <w:rFonts w:ascii="Arial" w:hAnsi="Arial" w:cs="Arial"/>
        </w:rPr>
        <w:t xml:space="preserve"> </w:t>
      </w:r>
      <w:r w:rsidRPr="00F5134D">
        <w:rPr>
          <w:rFonts w:ascii="Arial" w:hAnsi="Arial" w:cs="Arial"/>
        </w:rPr>
        <w:t>including (but not limited to); child prot</w:t>
      </w:r>
      <w:r w:rsidRPr="00F5134D">
        <w:rPr>
          <w:rFonts w:ascii="Arial" w:hAnsi="Arial" w:cs="Arial"/>
        </w:rPr>
        <w:t>ection, health, safety, equality, security and confidentiality.</w:t>
      </w:r>
    </w:p>
    <w:p w14:paraId="67083AE1" w14:textId="2C5E1E40" w:rsidR="0003373E" w:rsidRPr="00F5134D" w:rsidRDefault="00254CF6" w:rsidP="0003373E">
      <w:pPr>
        <w:numPr>
          <w:ilvl w:val="0"/>
          <w:numId w:val="4"/>
        </w:numPr>
        <w:rPr>
          <w:rFonts w:ascii="Arial" w:hAnsi="Arial" w:cs="Arial"/>
        </w:rPr>
      </w:pPr>
      <w:r w:rsidRPr="00F5134D">
        <w:rPr>
          <w:rFonts w:ascii="Arial" w:hAnsi="Arial" w:cs="Arial"/>
        </w:rPr>
        <w:lastRenderedPageBreak/>
        <w:t>Pay</w:t>
      </w:r>
      <w:r w:rsidRPr="00F5134D">
        <w:rPr>
          <w:rFonts w:ascii="Arial" w:hAnsi="Arial" w:cs="Arial"/>
        </w:rPr>
        <w:t xml:space="preserve"> particular attention to the Information Governance Policy and its subsequent policies and the guidance within</w:t>
      </w:r>
      <w:r w:rsidRPr="00F5134D">
        <w:rPr>
          <w:rFonts w:ascii="Arial" w:hAnsi="Arial" w:cs="Arial"/>
        </w:rPr>
        <w:t>,</w:t>
      </w:r>
      <w:r w:rsidRPr="00F5134D">
        <w:rPr>
          <w:rFonts w:ascii="Arial" w:hAnsi="Arial" w:cs="Arial"/>
        </w:rPr>
        <w:t xml:space="preserve"> in relation to ke</w:t>
      </w:r>
      <w:r w:rsidRPr="00F5134D">
        <w:rPr>
          <w:rFonts w:ascii="Arial" w:hAnsi="Arial" w:cs="Arial"/>
        </w:rPr>
        <w:t>eping information and data safe and understanding your indiv</w:t>
      </w:r>
      <w:r w:rsidRPr="00F5134D">
        <w:rPr>
          <w:rFonts w:ascii="Arial" w:hAnsi="Arial" w:cs="Arial"/>
        </w:rPr>
        <w:t>idual and collective responsibilities.</w:t>
      </w:r>
    </w:p>
    <w:p w14:paraId="373B47A2" w14:textId="388CF825" w:rsidR="0003373E" w:rsidRPr="00F5134D" w:rsidRDefault="00254CF6" w:rsidP="0003373E">
      <w:pPr>
        <w:numPr>
          <w:ilvl w:val="0"/>
          <w:numId w:val="4"/>
        </w:numPr>
        <w:rPr>
          <w:rFonts w:ascii="Arial" w:hAnsi="Arial" w:cs="Arial"/>
        </w:rPr>
      </w:pPr>
      <w:r w:rsidRPr="00F5134D">
        <w:rPr>
          <w:rFonts w:ascii="Arial" w:hAnsi="Arial" w:cs="Arial"/>
        </w:rPr>
        <w:t xml:space="preserve">Take responsibility for reporting and acting upon any </w:t>
      </w:r>
      <w:r w:rsidRPr="00F5134D">
        <w:rPr>
          <w:rFonts w:ascii="Arial" w:hAnsi="Arial" w:cs="Arial"/>
        </w:rPr>
        <w:t xml:space="preserve">personal </w:t>
      </w:r>
      <w:r w:rsidRPr="00F5134D">
        <w:rPr>
          <w:rFonts w:ascii="Arial" w:hAnsi="Arial" w:cs="Arial"/>
        </w:rPr>
        <w:t>concerns held for the safety, security and appropriateness of data and information storage or processing.</w:t>
      </w:r>
    </w:p>
    <w:p w14:paraId="664B624F" w14:textId="4335315E" w:rsidR="008D1CC1" w:rsidRPr="00F5134D" w:rsidRDefault="00254CF6" w:rsidP="008D1CC1">
      <w:pPr>
        <w:numPr>
          <w:ilvl w:val="0"/>
          <w:numId w:val="4"/>
        </w:numPr>
        <w:rPr>
          <w:rFonts w:ascii="Arial" w:hAnsi="Arial" w:cs="Arial"/>
        </w:rPr>
      </w:pPr>
      <w:r w:rsidRPr="00F5134D">
        <w:rPr>
          <w:rFonts w:ascii="Arial" w:hAnsi="Arial" w:cs="Arial"/>
        </w:rPr>
        <w:t>Ensure compliance with the Trusts Equality Polic</w:t>
      </w:r>
      <w:r w:rsidRPr="00F5134D">
        <w:rPr>
          <w:rFonts w:ascii="Arial" w:hAnsi="Arial" w:cs="Arial"/>
        </w:rPr>
        <w:t>y at all times and promot</w:t>
      </w:r>
      <w:r w:rsidRPr="00F5134D">
        <w:rPr>
          <w:rFonts w:ascii="Arial" w:hAnsi="Arial" w:cs="Arial"/>
        </w:rPr>
        <w:t xml:space="preserve">e the Trust values of equality </w:t>
      </w:r>
      <w:r w:rsidRPr="00F5134D">
        <w:rPr>
          <w:rFonts w:ascii="Arial" w:hAnsi="Arial" w:cs="Arial"/>
        </w:rPr>
        <w:t>and treat all employees and colleagues in a professional</w:t>
      </w:r>
      <w:r w:rsidRPr="00F5134D">
        <w:rPr>
          <w:rFonts w:ascii="Arial" w:hAnsi="Arial" w:cs="Arial"/>
        </w:rPr>
        <w:t xml:space="preserve"> and respectful</w:t>
      </w:r>
      <w:r w:rsidRPr="00F5134D">
        <w:rPr>
          <w:rFonts w:ascii="Arial" w:hAnsi="Arial" w:cs="Arial"/>
        </w:rPr>
        <w:t xml:space="preserve"> </w:t>
      </w:r>
      <w:r w:rsidRPr="00F5134D">
        <w:rPr>
          <w:rFonts w:ascii="Arial" w:hAnsi="Arial" w:cs="Arial"/>
        </w:rPr>
        <w:t>manner at all times.</w:t>
      </w:r>
    </w:p>
    <w:p w14:paraId="6AB3BB69" w14:textId="0C29AA4D" w:rsidR="00F5134D" w:rsidRPr="00F5134D" w:rsidRDefault="00254CF6" w:rsidP="00F5134D">
      <w:pPr>
        <w:rPr>
          <w:rFonts w:ascii="Arial" w:hAnsi="Arial" w:cs="Arial"/>
        </w:rPr>
      </w:pPr>
    </w:p>
    <w:p w14:paraId="200F572B" w14:textId="77777777" w:rsidR="00F5134D" w:rsidRPr="00F5134D" w:rsidRDefault="00254CF6" w:rsidP="00F5134D">
      <w:p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b/>
          <w:bCs/>
          <w:sz w:val="22"/>
          <w:szCs w:val="22"/>
        </w:rPr>
        <w:t>Key Requirements</w:t>
      </w:r>
      <w:r w:rsidRPr="00F5134D">
        <w:rPr>
          <w:rFonts w:ascii="Arial" w:hAnsi="Arial" w:cs="Arial"/>
          <w:b/>
          <w:bCs/>
          <w:sz w:val="22"/>
          <w:szCs w:val="22"/>
        </w:rPr>
        <w:br/>
      </w:r>
    </w:p>
    <w:p w14:paraId="078FC7AB" w14:textId="77777777" w:rsidR="00F5134D" w:rsidRPr="00F5134D" w:rsidRDefault="00254CF6" w:rsidP="00F5134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>Good GCSEs including Maths and English</w:t>
      </w:r>
    </w:p>
    <w:p w14:paraId="31EBA3B1" w14:textId="77777777" w:rsidR="00F5134D" w:rsidRPr="00F5134D" w:rsidRDefault="00254CF6" w:rsidP="00F5134D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 xml:space="preserve">Recent facility management experience </w:t>
      </w:r>
      <w:r w:rsidRPr="00F5134D">
        <w:rPr>
          <w:rFonts w:ascii="Arial" w:hAnsi="Arial" w:cs="Arial"/>
          <w:sz w:val="22"/>
          <w:szCs w:val="22"/>
        </w:rPr>
        <w:t>including the management of suppliers and an understanding of the relevant legislative requirements of large public buildings</w:t>
      </w:r>
    </w:p>
    <w:p w14:paraId="37F39C76" w14:textId="77777777" w:rsidR="00F5134D" w:rsidRPr="00F5134D" w:rsidRDefault="00254CF6" w:rsidP="00F5134D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>Effective communication skills - both oral and written</w:t>
      </w:r>
    </w:p>
    <w:p w14:paraId="17C62892" w14:textId="77777777" w:rsidR="00F5134D" w:rsidRPr="00F5134D" w:rsidRDefault="00254CF6" w:rsidP="00F5134D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>Ability to develop and sustain collaborative working relationships at all l</w:t>
      </w:r>
      <w:r w:rsidRPr="00F5134D">
        <w:rPr>
          <w:rFonts w:ascii="Arial" w:hAnsi="Arial" w:cs="Arial"/>
          <w:sz w:val="22"/>
          <w:szCs w:val="22"/>
        </w:rPr>
        <w:t>evels</w:t>
      </w:r>
    </w:p>
    <w:p w14:paraId="280F2A61" w14:textId="77777777" w:rsidR="00F5134D" w:rsidRPr="00F5134D" w:rsidRDefault="00254CF6" w:rsidP="00F5134D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>Planning and organisational skills</w:t>
      </w:r>
    </w:p>
    <w:p w14:paraId="68D98DB3" w14:textId="77777777" w:rsidR="00F5134D" w:rsidRPr="00F5134D" w:rsidRDefault="00254CF6" w:rsidP="00F5134D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>Strong attention to detail and ability to multitask</w:t>
      </w:r>
    </w:p>
    <w:p w14:paraId="7D1DEA49" w14:textId="77777777" w:rsidR="00F5134D" w:rsidRPr="00F5134D" w:rsidRDefault="00254CF6" w:rsidP="00F5134D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>Ability to influence and negotiate outcomes</w:t>
      </w:r>
    </w:p>
    <w:p w14:paraId="7FB1DFB0" w14:textId="77777777" w:rsidR="00F5134D" w:rsidRPr="00F5134D" w:rsidRDefault="00254CF6" w:rsidP="00F5134D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>Knowledge and experience in use of project planning software</w:t>
      </w:r>
    </w:p>
    <w:p w14:paraId="65DF55CD" w14:textId="77777777" w:rsidR="00F5134D" w:rsidRPr="00F5134D" w:rsidRDefault="00254CF6" w:rsidP="00F5134D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>Proficient in Microsoft Office – Word/Excel/PowerPoint</w:t>
      </w:r>
    </w:p>
    <w:p w14:paraId="43EB84D8" w14:textId="77777777" w:rsidR="00F5134D" w:rsidRPr="00F5134D" w:rsidRDefault="00254CF6" w:rsidP="00F5134D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>Wil</w:t>
      </w:r>
      <w:r w:rsidRPr="00F5134D">
        <w:rPr>
          <w:rFonts w:ascii="Arial" w:hAnsi="Arial" w:cs="Arial"/>
          <w:sz w:val="22"/>
          <w:szCs w:val="22"/>
        </w:rPr>
        <w:t>ling and able to undertake regular travel</w:t>
      </w:r>
    </w:p>
    <w:p w14:paraId="3D543779" w14:textId="77777777" w:rsidR="00F5134D" w:rsidRPr="00F5134D" w:rsidRDefault="00254CF6" w:rsidP="00F5134D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>Full UK Driving licence.</w:t>
      </w:r>
    </w:p>
    <w:p w14:paraId="62E0F11A" w14:textId="77777777" w:rsidR="00F5134D" w:rsidRPr="00F5134D" w:rsidRDefault="00254CF6" w:rsidP="00F5134D">
      <w:pPr>
        <w:rPr>
          <w:rFonts w:ascii="Arial" w:hAnsi="Arial" w:cs="Arial"/>
          <w:sz w:val="22"/>
          <w:szCs w:val="22"/>
        </w:rPr>
      </w:pPr>
    </w:p>
    <w:p w14:paraId="6A8E4B9C" w14:textId="77777777" w:rsidR="00F5134D" w:rsidRPr="00F5134D" w:rsidRDefault="00254CF6" w:rsidP="00F5134D">
      <w:p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b/>
          <w:bCs/>
          <w:sz w:val="22"/>
          <w:szCs w:val="22"/>
        </w:rPr>
        <w:t>Desirable Attributes</w:t>
      </w:r>
    </w:p>
    <w:p w14:paraId="6FF77F5A" w14:textId="77777777" w:rsidR="00F5134D" w:rsidRPr="00F5134D" w:rsidRDefault="00254CF6" w:rsidP="00F5134D">
      <w:pPr>
        <w:rPr>
          <w:rFonts w:ascii="Arial" w:hAnsi="Arial" w:cs="Arial"/>
          <w:b/>
          <w:bCs/>
          <w:sz w:val="22"/>
          <w:szCs w:val="22"/>
        </w:rPr>
      </w:pPr>
    </w:p>
    <w:p w14:paraId="04DD9E2E" w14:textId="77777777" w:rsidR="00F5134D" w:rsidRPr="00F5134D" w:rsidRDefault="00254CF6" w:rsidP="00F5134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>IOSH Managing Safety qualification</w:t>
      </w:r>
    </w:p>
    <w:p w14:paraId="4509EF33" w14:textId="77777777" w:rsidR="00F5134D" w:rsidRPr="00F5134D" w:rsidRDefault="00254CF6" w:rsidP="00F5134D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>NEBOSH qualification</w:t>
      </w:r>
    </w:p>
    <w:p w14:paraId="292A62FA" w14:textId="77777777" w:rsidR="00F5134D" w:rsidRPr="00F5134D" w:rsidRDefault="00254CF6" w:rsidP="00F5134D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F5134D">
        <w:rPr>
          <w:rFonts w:ascii="Arial" w:hAnsi="Arial" w:cs="Arial"/>
          <w:sz w:val="22"/>
          <w:szCs w:val="22"/>
        </w:rPr>
        <w:t xml:space="preserve">Education sector experience. </w:t>
      </w:r>
    </w:p>
    <w:p w14:paraId="357708D1" w14:textId="77777777" w:rsidR="00F5134D" w:rsidRPr="00F5134D" w:rsidRDefault="00254CF6" w:rsidP="00F5134D">
      <w:pPr>
        <w:rPr>
          <w:rFonts w:ascii="Arial" w:hAnsi="Arial" w:cs="Arial"/>
        </w:rPr>
      </w:pPr>
    </w:p>
    <w:sectPr w:rsidR="00F5134D" w:rsidRPr="00F5134D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E7CC" w14:textId="77777777" w:rsidR="00254CF6" w:rsidRDefault="00254CF6">
      <w:r>
        <w:separator/>
      </w:r>
    </w:p>
  </w:endnote>
  <w:endnote w:type="continuationSeparator" w:id="0">
    <w:p w14:paraId="702F8791" w14:textId="77777777" w:rsidR="00254CF6" w:rsidRDefault="0025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8A22" w14:textId="77777777" w:rsidR="00254CF6" w:rsidRDefault="00254CF6">
      <w:r>
        <w:separator/>
      </w:r>
    </w:p>
  </w:footnote>
  <w:footnote w:type="continuationSeparator" w:id="0">
    <w:p w14:paraId="3B7D2F57" w14:textId="77777777" w:rsidR="00254CF6" w:rsidRDefault="0025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F464" w14:textId="07911874" w:rsidR="008C588E" w:rsidRDefault="008C58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63C393" wp14:editId="6277F638">
          <wp:simplePos x="0" y="0"/>
          <wp:positionH relativeFrom="column">
            <wp:posOffset>4601210</wp:posOffset>
          </wp:positionH>
          <wp:positionV relativeFrom="paragraph">
            <wp:posOffset>-436880</wp:posOffset>
          </wp:positionV>
          <wp:extent cx="2246630" cy="1240565"/>
          <wp:effectExtent l="0" t="0" r="1270" b="4445"/>
          <wp:wrapTight wrapText="bothSides">
            <wp:wrapPolygon edited="0">
              <wp:start x="0" y="0"/>
              <wp:lineTo x="0" y="21456"/>
              <wp:lineTo x="21490" y="21456"/>
              <wp:lineTo x="2149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T_Logo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124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019D"/>
    <w:multiLevelType w:val="multilevel"/>
    <w:tmpl w:val="2828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49"/>
    <w:rsid w:val="00254CF6"/>
    <w:rsid w:val="008C588E"/>
    <w:rsid w:val="00C0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16300"/>
  <w15:docId w15:val="{D807285C-109C-7D45-825C-679E6296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8E"/>
  </w:style>
  <w:style w:type="paragraph" w:styleId="Footer">
    <w:name w:val="footer"/>
    <w:basedOn w:val="Normal"/>
    <w:link w:val="FooterChar"/>
    <w:uiPriority w:val="99"/>
    <w:unhideWhenUsed/>
    <w:rsid w:val="008C5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Kerrie Birch</cp:lastModifiedBy>
  <cp:revision>2</cp:revision>
  <dcterms:created xsi:type="dcterms:W3CDTF">2020-02-21T10:15:00Z</dcterms:created>
  <dcterms:modified xsi:type="dcterms:W3CDTF">2020-02-21T10:22:00Z</dcterms:modified>
</cp:coreProperties>
</file>